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CB79AF">
      <w:pPr>
        <w:ind w:firstLine="0"/>
      </w:pPr>
    </w:p>
    <w:p w14:paraId="70D65E8A" w14:textId="69C257A1" w:rsidR="00E83D0E" w:rsidRDefault="00E83D0E" w:rsidP="00682A09">
      <w:pPr>
        <w:ind w:firstLine="0"/>
        <w:jc w:val="center"/>
        <w:rPr>
          <w:rtl/>
        </w:rPr>
      </w:pPr>
      <w:r w:rsidRPr="00E83D0E">
        <w:rPr>
          <w:rtl/>
        </w:rPr>
        <w:t>بسم الله الرحمن الرحيم</w:t>
      </w:r>
    </w:p>
    <w:p w14:paraId="4F60224A" w14:textId="783985AC" w:rsidR="003D2E68" w:rsidRDefault="003D2E68" w:rsidP="003D2E68">
      <w:pPr>
        <w:rPr>
          <w:rtl/>
          <w:lang w:bidi="fa-IR"/>
        </w:rPr>
      </w:pPr>
      <w:r w:rsidRPr="003D2E68">
        <w:rPr>
          <w:rtl/>
        </w:rPr>
        <w:t>الحمد لله ربّ العالمين والصلاة والسلام على خير خلقه محمّد وآله الطيّبين والطاهرين.</w:t>
      </w:r>
    </w:p>
    <w:p w14:paraId="4E236C52" w14:textId="5F34BDD4" w:rsidR="00931CDD" w:rsidRDefault="00931CDD" w:rsidP="00931CDD">
      <w:pPr>
        <w:rPr>
          <w:rtl/>
        </w:rPr>
      </w:pPr>
      <w:r>
        <w:rPr>
          <w:rFonts w:hint="cs"/>
          <w:rtl/>
        </w:rPr>
        <w:t xml:space="preserve">قلنا </w:t>
      </w:r>
      <w:r w:rsidR="00277238">
        <w:rPr>
          <w:rFonts w:hint="cs"/>
          <w:rtl/>
        </w:rPr>
        <w:t>إ</w:t>
      </w:r>
      <w:r>
        <w:rPr>
          <w:rFonts w:hint="cs"/>
          <w:rtl/>
        </w:rPr>
        <w:t>ن</w:t>
      </w:r>
      <w:r w:rsidR="00277238">
        <w:rPr>
          <w:rFonts w:hint="cs"/>
          <w:rtl/>
        </w:rPr>
        <w:t>ّ</w:t>
      </w:r>
      <w:r>
        <w:rPr>
          <w:rFonts w:hint="cs"/>
          <w:rtl/>
        </w:rPr>
        <w:t xml:space="preserve"> المحقّق النائيني رضوان الله </w:t>
      </w:r>
      <w:r w:rsidR="00277238">
        <w:rPr>
          <w:rFonts w:hint="cs"/>
          <w:rtl/>
        </w:rPr>
        <w:t xml:space="preserve">تعالى </w:t>
      </w:r>
      <w:r>
        <w:rPr>
          <w:rFonts w:hint="cs"/>
          <w:rtl/>
        </w:rPr>
        <w:t xml:space="preserve">عليه </w:t>
      </w:r>
      <w:r w:rsidR="00277238">
        <w:rPr>
          <w:rFonts w:hint="cs"/>
          <w:rtl/>
        </w:rPr>
        <w:t xml:space="preserve">قال </w:t>
      </w:r>
      <w:r w:rsidR="00810A01">
        <w:rPr>
          <w:rtl/>
        </w:rPr>
        <w:t>–</w:t>
      </w:r>
      <w:r w:rsidR="00810A01">
        <w:rPr>
          <w:rFonts w:hint="cs"/>
          <w:rtl/>
        </w:rPr>
        <w:t xml:space="preserve"> </w:t>
      </w:r>
      <w:r w:rsidR="00277238">
        <w:rPr>
          <w:rFonts w:hint="cs"/>
          <w:rtl/>
        </w:rPr>
        <w:t>بحسب ما نقله عنه أستاذنا الشهيد رضوان الله تعالى عليه</w:t>
      </w:r>
      <w:r w:rsidR="00810A01">
        <w:rPr>
          <w:rFonts w:hint="cs"/>
          <w:rtl/>
        </w:rPr>
        <w:t xml:space="preserve"> </w:t>
      </w:r>
      <w:r w:rsidR="00810A01">
        <w:rPr>
          <w:rtl/>
        </w:rPr>
        <w:t>–</w:t>
      </w:r>
      <w:r w:rsidR="00277238">
        <w:rPr>
          <w:rFonts w:hint="cs"/>
          <w:rtl/>
        </w:rPr>
        <w:t xml:space="preserve"> أنّ ما يقال بشأن ثمرة الفرق بين مبنى العلّيّة ومبنى الاقتضاء في كون العلم الإجمالي مستدعياً لتنجيز الموافقة القطعيّة، تظهر فيما إذا كان الأصل العمليّ المؤمّن في أحد الطرفين فحسب. فقال النائيني رضوان الله تعالى عليه أنّ هذا وإن كان صحيحاً نظريّاً ولكنّه عملاً </w:t>
      </w:r>
      <w:r w:rsidR="00810A01">
        <w:rPr>
          <w:rFonts w:hint="cs"/>
          <w:rtl/>
        </w:rPr>
        <w:t>لا يوجد</w:t>
      </w:r>
      <w:r w:rsidR="00277238">
        <w:rPr>
          <w:rFonts w:hint="cs"/>
          <w:rtl/>
        </w:rPr>
        <w:t xml:space="preserve"> أن يكون أصل</w:t>
      </w:r>
      <w:r w:rsidR="00810A01">
        <w:rPr>
          <w:rFonts w:hint="cs"/>
          <w:rtl/>
        </w:rPr>
        <w:t>ٌ</w:t>
      </w:r>
      <w:r w:rsidR="00277238">
        <w:rPr>
          <w:rFonts w:hint="cs"/>
          <w:rtl/>
        </w:rPr>
        <w:t xml:space="preserve"> عمليّ مؤمّن يجري في طرف واحد فقط دون الطرف الآخر. فأستاذنا الشهيد صار بصدد ذكر ثلاث صور لكون الأصل العمليّ خاصّاً بأحد الطرفين، دون الطرف الآخر.</w:t>
      </w:r>
    </w:p>
    <w:p w14:paraId="1FAA4956" w14:textId="3B7BED21" w:rsidR="00277238" w:rsidRDefault="00277238" w:rsidP="00931CDD">
      <w:pPr>
        <w:rPr>
          <w:rtl/>
        </w:rPr>
      </w:pPr>
      <w:r>
        <w:rPr>
          <w:rFonts w:hint="cs"/>
          <w:rtl/>
        </w:rPr>
        <w:t>الصورة الأولى كانت عبارة عن أن يكون العلم الإجمالي بطبعه بين ما تجري فيه قاعدة أنّ الامتثال اليقيني</w:t>
      </w:r>
      <w:r w:rsidR="00810A01">
        <w:rPr>
          <w:rFonts w:hint="cs"/>
          <w:rtl/>
        </w:rPr>
        <w:t>ّ</w:t>
      </w:r>
      <w:r>
        <w:rPr>
          <w:rFonts w:hint="cs"/>
          <w:rtl/>
        </w:rPr>
        <w:t xml:space="preserve"> يستدعي الفراغ اليقيني</w:t>
      </w:r>
      <w:r w:rsidR="00810A01">
        <w:rPr>
          <w:rFonts w:hint="cs"/>
          <w:rtl/>
        </w:rPr>
        <w:t>ّ؛</w:t>
      </w:r>
      <w:r>
        <w:rPr>
          <w:rFonts w:hint="cs"/>
          <w:rtl/>
        </w:rPr>
        <w:t xml:space="preserve"> فلا تجري فيه الأصول المؤمّنة، و</w:t>
      </w:r>
      <w:r w:rsidR="00810A01">
        <w:rPr>
          <w:rFonts w:hint="cs"/>
          <w:rtl/>
        </w:rPr>
        <w:t xml:space="preserve">بين ما </w:t>
      </w:r>
      <w:r>
        <w:rPr>
          <w:rFonts w:hint="cs"/>
          <w:rtl/>
        </w:rPr>
        <w:t>تجري فيه الأصول المؤمّنة.</w:t>
      </w:r>
    </w:p>
    <w:p w14:paraId="3F6381C0" w14:textId="062C4FEA" w:rsidR="00277238" w:rsidRDefault="00277238" w:rsidP="00931CDD">
      <w:pPr>
        <w:rPr>
          <w:rtl/>
        </w:rPr>
      </w:pPr>
      <w:r>
        <w:rPr>
          <w:rFonts w:hint="cs"/>
          <w:rtl/>
        </w:rPr>
        <w:t>والصورة الثانية كان</w:t>
      </w:r>
      <w:r w:rsidR="00810A01">
        <w:rPr>
          <w:rFonts w:hint="cs"/>
          <w:rtl/>
        </w:rPr>
        <w:t>ت</w:t>
      </w:r>
      <w:r>
        <w:rPr>
          <w:rFonts w:hint="cs"/>
          <w:rtl/>
        </w:rPr>
        <w:t xml:space="preserve"> </w:t>
      </w:r>
      <w:r w:rsidR="00061DA3">
        <w:rPr>
          <w:rFonts w:hint="cs"/>
          <w:rtl/>
        </w:rPr>
        <w:t>فيما إذا</w:t>
      </w:r>
      <w:r>
        <w:rPr>
          <w:rFonts w:hint="cs"/>
          <w:rtl/>
        </w:rPr>
        <w:t xml:space="preserve"> كان الأصل المؤمّن شاملاً بطبعه كلا الطرفين، ولكن ابتلي في أحد الطرفين بأصل مثبت</w:t>
      </w:r>
      <w:r w:rsidR="00061DA3">
        <w:rPr>
          <w:rFonts w:hint="cs"/>
          <w:rtl/>
        </w:rPr>
        <w:t>ٍ</w:t>
      </w:r>
      <w:r>
        <w:rPr>
          <w:rFonts w:hint="cs"/>
          <w:rtl/>
        </w:rPr>
        <w:t xml:space="preserve"> للتكليف حاكم</w:t>
      </w:r>
      <w:r w:rsidR="00061DA3">
        <w:rPr>
          <w:rFonts w:hint="cs"/>
          <w:rtl/>
        </w:rPr>
        <w:t>ٍ</w:t>
      </w:r>
      <w:r>
        <w:rPr>
          <w:rFonts w:hint="cs"/>
          <w:rtl/>
        </w:rPr>
        <w:t xml:space="preserve"> عليه.</w:t>
      </w:r>
    </w:p>
    <w:p w14:paraId="4C4C1556" w14:textId="006C1382" w:rsidR="00277238" w:rsidRDefault="00277238" w:rsidP="00931CDD">
      <w:pPr>
        <w:rPr>
          <w:rtl/>
        </w:rPr>
      </w:pPr>
      <w:r>
        <w:rPr>
          <w:rFonts w:hint="cs"/>
          <w:rtl/>
        </w:rPr>
        <w:t>والصورة الثالثة التي بدأنا بها في الدرس الماضي، هي صورة ما إذا كان هناك أصل طوليّ مؤّمن في أحد طرفي العلم الإجمالي (لا أصل</w:t>
      </w:r>
      <w:r w:rsidR="00061DA3">
        <w:rPr>
          <w:rFonts w:hint="cs"/>
          <w:rtl/>
        </w:rPr>
        <w:t>ٌ</w:t>
      </w:r>
      <w:r>
        <w:rPr>
          <w:rFonts w:hint="cs"/>
          <w:rtl/>
        </w:rPr>
        <w:t xml:space="preserve"> حاكم، فإنّه فرق بين الأصل الحاكم والأصل الطولي</w:t>
      </w:r>
      <w:r w:rsidR="00061DA3">
        <w:rPr>
          <w:rFonts w:hint="cs"/>
          <w:rtl/>
        </w:rPr>
        <w:t>ّ</w:t>
      </w:r>
      <w:r>
        <w:rPr>
          <w:rFonts w:hint="cs"/>
          <w:rtl/>
        </w:rPr>
        <w:t>). فالأصلان في الطرفين يتعارضان ويتساقطان، ولكن في أحد الطرفين يوجد أصل</w:t>
      </w:r>
      <w:r w:rsidR="00061DA3">
        <w:rPr>
          <w:rFonts w:hint="cs"/>
          <w:rtl/>
        </w:rPr>
        <w:t>ٌ</w:t>
      </w:r>
      <w:r>
        <w:rPr>
          <w:rFonts w:hint="cs"/>
          <w:rtl/>
        </w:rPr>
        <w:t xml:space="preserve"> مؤمّن أيضا</w:t>
      </w:r>
      <w:r w:rsidR="007646FD">
        <w:rPr>
          <w:rFonts w:hint="cs"/>
          <w:rtl/>
        </w:rPr>
        <w:t>ً</w:t>
      </w:r>
      <w:r>
        <w:rPr>
          <w:rFonts w:hint="cs"/>
          <w:rtl/>
        </w:rPr>
        <w:t xml:space="preserve"> في طول ذلك الأصل المؤمّن الذي سقط. فإنّه ما لم يسقط الأصل المؤمّن الأوّل في ذلك الطرف</w:t>
      </w:r>
      <w:r w:rsidR="007646FD">
        <w:rPr>
          <w:rFonts w:hint="cs"/>
          <w:rtl/>
        </w:rPr>
        <w:t>، لا تصل النوبة إلى هذا الأصل المؤمّن الثاني، ولكن إذا سقط</w:t>
      </w:r>
      <w:r w:rsidR="00061DA3">
        <w:rPr>
          <w:rFonts w:hint="cs"/>
          <w:rtl/>
        </w:rPr>
        <w:t>،</w:t>
      </w:r>
      <w:r w:rsidR="007646FD">
        <w:rPr>
          <w:rFonts w:hint="cs"/>
          <w:rtl/>
        </w:rPr>
        <w:t xml:space="preserve"> عندئذ يجري الأصل المؤمّن الثاني.</w:t>
      </w:r>
    </w:p>
    <w:p w14:paraId="1C480A05" w14:textId="77777777" w:rsidR="00061DA3" w:rsidRDefault="007646FD" w:rsidP="007646FD">
      <w:pPr>
        <w:rPr>
          <w:rtl/>
        </w:rPr>
      </w:pPr>
      <w:r>
        <w:rPr>
          <w:rFonts w:hint="cs"/>
          <w:rtl/>
        </w:rPr>
        <w:t>مثاله الأوّل: ما إذا علمنا إجمالا</w:t>
      </w:r>
      <w:r w:rsidR="00061DA3">
        <w:rPr>
          <w:rFonts w:hint="cs"/>
          <w:rtl/>
        </w:rPr>
        <w:t>ً</w:t>
      </w:r>
      <w:r>
        <w:rPr>
          <w:rFonts w:hint="cs"/>
          <w:rtl/>
        </w:rPr>
        <w:t xml:space="preserve"> بوجوب شيء أو حرمة شيء آخر</w:t>
      </w:r>
      <w:r w:rsidR="00061DA3">
        <w:rPr>
          <w:rFonts w:hint="cs"/>
          <w:rtl/>
        </w:rPr>
        <w:t>،</w:t>
      </w:r>
      <w:r>
        <w:rPr>
          <w:rFonts w:hint="cs"/>
          <w:rtl/>
        </w:rPr>
        <w:t xml:space="preserve"> وكان كلا الطرفين مسبوقاً بالعدم</w:t>
      </w:r>
      <w:r w:rsidR="00061DA3">
        <w:rPr>
          <w:rFonts w:hint="cs"/>
          <w:rtl/>
        </w:rPr>
        <w:t xml:space="preserve"> </w:t>
      </w:r>
      <w:r w:rsidR="00061DA3">
        <w:rPr>
          <w:rtl/>
        </w:rPr>
        <w:t>–</w:t>
      </w:r>
      <w:r>
        <w:rPr>
          <w:rFonts w:hint="cs"/>
          <w:rtl/>
        </w:rPr>
        <w:t xml:space="preserve"> </w:t>
      </w:r>
      <w:r w:rsidR="00061DA3">
        <w:rPr>
          <w:rFonts w:hint="cs"/>
          <w:rtl/>
        </w:rPr>
        <w:t xml:space="preserve">فيوجد هنا </w:t>
      </w:r>
      <w:r>
        <w:rPr>
          <w:rFonts w:hint="cs"/>
          <w:rtl/>
        </w:rPr>
        <w:t xml:space="preserve">استصحابان </w:t>
      </w:r>
      <w:r w:rsidR="00061DA3">
        <w:rPr>
          <w:rFonts w:hint="cs"/>
          <w:rtl/>
        </w:rPr>
        <w:t>اللذان يتعارضان و</w:t>
      </w:r>
      <w:r>
        <w:rPr>
          <w:rFonts w:hint="cs"/>
          <w:rtl/>
        </w:rPr>
        <w:t>يتساقطان</w:t>
      </w:r>
      <w:r w:rsidR="00061DA3">
        <w:rPr>
          <w:rFonts w:hint="cs"/>
          <w:rtl/>
        </w:rPr>
        <w:t xml:space="preserve"> </w:t>
      </w:r>
      <w:r w:rsidR="00061DA3">
        <w:rPr>
          <w:rtl/>
        </w:rPr>
        <w:t>–</w:t>
      </w:r>
      <w:r>
        <w:rPr>
          <w:rFonts w:hint="cs"/>
          <w:rtl/>
        </w:rPr>
        <w:t xml:space="preserve"> و</w:t>
      </w:r>
      <w:r w:rsidR="00061DA3">
        <w:rPr>
          <w:rFonts w:hint="cs"/>
          <w:rtl/>
        </w:rPr>
        <w:t xml:space="preserve">توجد </w:t>
      </w:r>
      <w:r>
        <w:rPr>
          <w:rFonts w:hint="cs"/>
          <w:rtl/>
        </w:rPr>
        <w:t>في طول الاستصحاب أصالة الحلّ (كلّ شيء لك حلال</w:t>
      </w:r>
      <w:r w:rsidR="00061DA3">
        <w:rPr>
          <w:rFonts w:hint="cs"/>
          <w:rtl/>
        </w:rPr>
        <w:t xml:space="preserve"> ...</w:t>
      </w:r>
      <w:r>
        <w:rPr>
          <w:rFonts w:hint="cs"/>
          <w:rtl/>
        </w:rPr>
        <w:t>)</w:t>
      </w:r>
      <w:r w:rsidR="00061DA3">
        <w:rPr>
          <w:rFonts w:hint="cs"/>
          <w:rtl/>
        </w:rPr>
        <w:t xml:space="preserve"> التي</w:t>
      </w:r>
      <w:r>
        <w:rPr>
          <w:rFonts w:hint="cs"/>
          <w:rtl/>
        </w:rPr>
        <w:t xml:space="preserve"> </w:t>
      </w:r>
      <w:r w:rsidR="00061DA3">
        <w:rPr>
          <w:rFonts w:hint="cs"/>
          <w:rtl/>
        </w:rPr>
        <w:t xml:space="preserve">لا </w:t>
      </w:r>
      <w:r>
        <w:rPr>
          <w:rFonts w:hint="cs"/>
          <w:rtl/>
        </w:rPr>
        <w:t>تجري في الشبهات ال</w:t>
      </w:r>
      <w:r w:rsidR="00061DA3">
        <w:rPr>
          <w:rFonts w:hint="cs"/>
          <w:rtl/>
        </w:rPr>
        <w:t xml:space="preserve">وجوبيّة؛ بل </w:t>
      </w:r>
      <w:r>
        <w:rPr>
          <w:rFonts w:hint="cs"/>
          <w:rtl/>
        </w:rPr>
        <w:t>تجري في الشبهات ال</w:t>
      </w:r>
      <w:r w:rsidR="00061DA3">
        <w:rPr>
          <w:rFonts w:hint="cs"/>
          <w:rtl/>
        </w:rPr>
        <w:t>تحريميّة فقط</w:t>
      </w:r>
      <w:r>
        <w:rPr>
          <w:rFonts w:hint="cs"/>
          <w:rtl/>
        </w:rPr>
        <w:t>.</w:t>
      </w:r>
    </w:p>
    <w:p w14:paraId="47439D30" w14:textId="25D4F64E" w:rsidR="007646FD" w:rsidRDefault="007646FD" w:rsidP="00061DA3">
      <w:pPr>
        <w:rPr>
          <w:rtl/>
        </w:rPr>
      </w:pPr>
      <w:r>
        <w:rPr>
          <w:rFonts w:hint="cs"/>
          <w:rtl/>
        </w:rPr>
        <w:t xml:space="preserve">فهنا بعد سقوط الاستصحابين تصل النوبة إلى أصالة الحلّ، وأصالة الحلّ </w:t>
      </w:r>
      <w:r w:rsidR="00061DA3">
        <w:rPr>
          <w:rFonts w:hint="cs"/>
          <w:rtl/>
        </w:rPr>
        <w:t>هنا</w:t>
      </w:r>
      <w:r>
        <w:rPr>
          <w:rFonts w:hint="cs"/>
          <w:rtl/>
        </w:rPr>
        <w:t xml:space="preserve"> </w:t>
      </w:r>
      <w:r w:rsidR="00061DA3">
        <w:rPr>
          <w:rFonts w:hint="cs"/>
          <w:rtl/>
        </w:rPr>
        <w:t xml:space="preserve">إنّما </w:t>
      </w:r>
      <w:r>
        <w:rPr>
          <w:rFonts w:hint="cs"/>
          <w:rtl/>
        </w:rPr>
        <w:t>تجري في الطرف الثاني الذي تكون الشبهة فيه شبهة</w:t>
      </w:r>
      <w:r w:rsidR="00061DA3">
        <w:rPr>
          <w:rFonts w:hint="cs"/>
          <w:rtl/>
        </w:rPr>
        <w:t>ً</w:t>
      </w:r>
      <w:r>
        <w:rPr>
          <w:rFonts w:hint="cs"/>
          <w:rtl/>
        </w:rPr>
        <w:t xml:space="preserve"> تحريميّة. ففي هذا المثال يمكن القول بأنّ الاستصحابان يتساقطان وتصل النوبة إلى </w:t>
      </w:r>
      <w:r w:rsidR="00061DA3">
        <w:rPr>
          <w:rFonts w:hint="cs"/>
          <w:rtl/>
        </w:rPr>
        <w:t>أصالة الحلّ التي هي هنا أصل طوليّ</w:t>
      </w:r>
      <w:r>
        <w:rPr>
          <w:rFonts w:hint="cs"/>
          <w:rtl/>
        </w:rPr>
        <w:t xml:space="preserve">، لأنّ الاستصحاب أصل محرز </w:t>
      </w:r>
      <w:r w:rsidR="00061DA3">
        <w:rPr>
          <w:rFonts w:hint="cs"/>
          <w:rtl/>
        </w:rPr>
        <w:t>(</w:t>
      </w:r>
      <w:r>
        <w:rPr>
          <w:rFonts w:hint="cs"/>
          <w:rtl/>
        </w:rPr>
        <w:t>أو أصل تنزيليّ</w:t>
      </w:r>
      <w:r w:rsidR="00061DA3">
        <w:rPr>
          <w:rFonts w:hint="cs"/>
          <w:rtl/>
        </w:rPr>
        <w:t>)</w:t>
      </w:r>
      <w:r>
        <w:rPr>
          <w:rFonts w:hint="cs"/>
          <w:rtl/>
        </w:rPr>
        <w:t xml:space="preserve"> بينما أصالة الحلّ أصلٌ بحت، فإذا جريا في مورد واحد، مادام الاستصحاب موجود، </w:t>
      </w:r>
      <w:r w:rsidR="00AE5B1E">
        <w:rPr>
          <w:rFonts w:hint="cs"/>
          <w:rtl/>
        </w:rPr>
        <w:t xml:space="preserve">لا تجري </w:t>
      </w:r>
      <w:r>
        <w:rPr>
          <w:rFonts w:hint="cs"/>
          <w:rtl/>
        </w:rPr>
        <w:t>أصالة الحل</w:t>
      </w:r>
      <w:r w:rsidR="00AE5B1E">
        <w:rPr>
          <w:rFonts w:hint="cs"/>
          <w:rtl/>
        </w:rPr>
        <w:t>ّ</w:t>
      </w:r>
      <w:r>
        <w:rPr>
          <w:rFonts w:hint="cs"/>
          <w:rtl/>
        </w:rPr>
        <w:t>.</w:t>
      </w:r>
    </w:p>
    <w:p w14:paraId="43A134A2" w14:textId="36E3FD15" w:rsidR="00D569C7" w:rsidRDefault="007646FD" w:rsidP="007646FD">
      <w:pPr>
        <w:rPr>
          <w:rtl/>
        </w:rPr>
      </w:pPr>
      <w:r>
        <w:rPr>
          <w:rFonts w:hint="cs"/>
          <w:rtl/>
        </w:rPr>
        <w:t>ولكن</w:t>
      </w:r>
      <w:r w:rsidR="00560B80">
        <w:rPr>
          <w:rFonts w:hint="cs"/>
          <w:rtl/>
        </w:rPr>
        <w:t>ّ</w:t>
      </w:r>
      <w:r>
        <w:rPr>
          <w:rFonts w:hint="cs"/>
          <w:rtl/>
        </w:rPr>
        <w:t xml:space="preserve"> هذا المثال إنّما </w:t>
      </w:r>
      <w:r w:rsidR="00560B80">
        <w:rPr>
          <w:rFonts w:hint="cs"/>
          <w:rtl/>
        </w:rPr>
        <w:t>يكون</w:t>
      </w:r>
      <w:r>
        <w:rPr>
          <w:rFonts w:hint="cs"/>
          <w:rtl/>
        </w:rPr>
        <w:t xml:space="preserve"> مثالاً </w:t>
      </w:r>
      <w:r w:rsidR="00560B80">
        <w:rPr>
          <w:rFonts w:hint="cs"/>
          <w:rtl/>
        </w:rPr>
        <w:t>ل</w:t>
      </w:r>
      <w:r>
        <w:rPr>
          <w:rFonts w:hint="cs"/>
          <w:rtl/>
        </w:rPr>
        <w:t xml:space="preserve">لصورة المذكورة على مباني أستاذنا الشهيد، لا على مباني الأصحاب. لأنّه </w:t>
      </w:r>
      <w:r w:rsidR="00560B80">
        <w:rPr>
          <w:rFonts w:hint="cs"/>
          <w:rtl/>
        </w:rPr>
        <w:t xml:space="preserve">قدّس سرّه </w:t>
      </w:r>
      <w:r w:rsidR="00CB4F17">
        <w:rPr>
          <w:rFonts w:hint="cs"/>
          <w:rtl/>
        </w:rPr>
        <w:t>يعتقد عدم</w:t>
      </w:r>
      <w:r>
        <w:rPr>
          <w:rFonts w:hint="cs"/>
          <w:rtl/>
        </w:rPr>
        <w:t xml:space="preserve"> جريان أصالة البرائة في أطراف العلم الإجمالي</w:t>
      </w:r>
      <w:r w:rsidR="00CB4F17">
        <w:rPr>
          <w:rFonts w:hint="cs"/>
          <w:rtl/>
        </w:rPr>
        <w:t>ّ</w:t>
      </w:r>
      <w:r>
        <w:rPr>
          <w:rFonts w:hint="cs"/>
          <w:rtl/>
        </w:rPr>
        <w:t>، لما سبق و</w:t>
      </w:r>
      <w:r w:rsidR="00D569C7">
        <w:rPr>
          <w:rFonts w:hint="cs"/>
          <w:rtl/>
        </w:rPr>
        <w:t xml:space="preserve">أن </w:t>
      </w:r>
      <w:r>
        <w:rPr>
          <w:rFonts w:hint="cs"/>
          <w:rtl/>
        </w:rPr>
        <w:t xml:space="preserve">قلنا في بعض أبحاثنا السابقة </w:t>
      </w:r>
      <w:r w:rsidR="00D569C7">
        <w:rPr>
          <w:rFonts w:hint="cs"/>
          <w:rtl/>
        </w:rPr>
        <w:t xml:space="preserve">من </w:t>
      </w:r>
      <w:r>
        <w:rPr>
          <w:rFonts w:hint="cs"/>
          <w:rtl/>
        </w:rPr>
        <w:t>أنّ ال</w:t>
      </w:r>
      <w:r w:rsidR="00D569C7">
        <w:rPr>
          <w:rFonts w:hint="cs"/>
          <w:rtl/>
        </w:rPr>
        <w:t>براءة إنّما تجري للتأمين عن أصل احتمال الإلزام، أمّا التأمين عن الإلزام الناشئ من العلم الإجمالي، فالبراءة لا تجري للتأمين عنه.</w:t>
      </w:r>
    </w:p>
    <w:p w14:paraId="1C646060" w14:textId="6370D9B5" w:rsidR="007646FD" w:rsidRDefault="00D569C7" w:rsidP="007646FD">
      <w:pPr>
        <w:rPr>
          <w:rtl/>
        </w:rPr>
      </w:pPr>
      <w:r>
        <w:rPr>
          <w:rFonts w:hint="cs"/>
          <w:rtl/>
        </w:rPr>
        <w:t>طبعاً هذه النظريّة ذكرها أستاذنا الشهيد رحمه الله خلافاً للمشهور، وأمّا المشهور لا يرى فرقاً بين أصالة الحلّ وأصالة البراءة في جريانه</w:t>
      </w:r>
      <w:r w:rsidR="00560B80">
        <w:rPr>
          <w:rFonts w:hint="cs"/>
          <w:rtl/>
        </w:rPr>
        <w:t>م</w:t>
      </w:r>
      <w:r>
        <w:rPr>
          <w:rFonts w:hint="cs"/>
          <w:rtl/>
        </w:rPr>
        <w:t>ا لرفع الإلزام الناشئ من العلم الإجماليّ. إذن فعلى مبنى الأصحاب بعد سقوط الاستصحابين يوجد أصالة البراءة في كلا الطرفين</w:t>
      </w:r>
      <w:r w:rsidR="00CB4F17">
        <w:rPr>
          <w:rFonts w:hint="cs"/>
          <w:rtl/>
        </w:rPr>
        <w:t>،</w:t>
      </w:r>
      <w:r>
        <w:rPr>
          <w:rFonts w:hint="cs"/>
          <w:rtl/>
        </w:rPr>
        <w:t xml:space="preserve"> فأيضاً يتعارضان ويتساقطان.</w:t>
      </w:r>
    </w:p>
    <w:p w14:paraId="20E3D5A3" w14:textId="0114EA79" w:rsidR="00D569C7" w:rsidRDefault="00D569C7" w:rsidP="007646FD">
      <w:pPr>
        <w:rPr>
          <w:rtl/>
        </w:rPr>
      </w:pPr>
      <w:r>
        <w:rPr>
          <w:rFonts w:hint="cs"/>
          <w:rtl/>
        </w:rPr>
        <w:lastRenderedPageBreak/>
        <w:t>أمّا المثال الثاني الذي يتناسب حت</w:t>
      </w:r>
      <w:r w:rsidR="00AE5B1E">
        <w:rPr>
          <w:rFonts w:hint="cs"/>
          <w:rtl/>
        </w:rPr>
        <w:t>ّ</w:t>
      </w:r>
      <w:r>
        <w:rPr>
          <w:rFonts w:hint="cs"/>
          <w:rtl/>
        </w:rPr>
        <w:t>ى مع مباني الأصحاب هو أنّه لو علمنا إجمالاً بنجاسة أحد الإناءين وكان أحدهما غير مسبوق لا بالطهارة ولا بالنجاسة. ففي توارد الحالتين لا تجري استصحاب. والطرف الآخر مجرى لاستصحاب عدم النجاسة. فالطرف الذي يجري فيه استصحاب الطهارة يسقط استصحاب بالتعارض مع أصالة الطهارة التي تجري في الطرف الأوّل.</w:t>
      </w:r>
    </w:p>
    <w:p w14:paraId="480423F7" w14:textId="656550C4" w:rsidR="00D569C7" w:rsidRDefault="00D569C7" w:rsidP="007646FD">
      <w:pPr>
        <w:rPr>
          <w:rtl/>
        </w:rPr>
      </w:pPr>
      <w:r>
        <w:rPr>
          <w:rFonts w:hint="cs"/>
          <w:rtl/>
        </w:rPr>
        <w:t xml:space="preserve">لا يقال </w:t>
      </w:r>
      <w:r w:rsidR="005502C3">
        <w:rPr>
          <w:rFonts w:hint="cs"/>
          <w:rtl/>
        </w:rPr>
        <w:t>«إ</w:t>
      </w:r>
      <w:r>
        <w:rPr>
          <w:rFonts w:hint="cs"/>
          <w:rtl/>
        </w:rPr>
        <w:t>نّ الاستصحاب أصل محرز أو تنزيلي</w:t>
      </w:r>
      <w:r w:rsidR="00536682">
        <w:rPr>
          <w:rFonts w:hint="cs"/>
          <w:rtl/>
        </w:rPr>
        <w:t>ّ</w:t>
      </w:r>
      <w:r>
        <w:rPr>
          <w:rFonts w:hint="cs"/>
          <w:rtl/>
        </w:rPr>
        <w:t>، فلماذا لا يتقدّم على أصالة الحلّ التي هي أصل بحت</w:t>
      </w:r>
      <w:r w:rsidR="005502C3">
        <w:rPr>
          <w:rFonts w:hint="cs"/>
          <w:rtl/>
        </w:rPr>
        <w:t>؟» لأنّهما في موردين. فإذا كانا الأصلان في مورد واحد، كان يتقدّم الاستصحاب على أصالة الطهارة.</w:t>
      </w:r>
    </w:p>
    <w:p w14:paraId="364EAB8D" w14:textId="077E71A9" w:rsidR="005502C3" w:rsidRDefault="005502C3" w:rsidP="007646FD">
      <w:pPr>
        <w:rPr>
          <w:rtl/>
        </w:rPr>
      </w:pPr>
      <w:r>
        <w:rPr>
          <w:rFonts w:hint="cs"/>
          <w:rtl/>
        </w:rPr>
        <w:t>فإذن بعدما سقط الاستصحاب بالتعارض مع أصالة الطهارة في الطرف الأوّل، تصل النوبة إلى هذا الأصل الطوليّ، وهو أصالة الطهارة في الطرف الذي كان فيه استصحاب الطهارة، فتجري بلا معارض.</w:t>
      </w:r>
    </w:p>
    <w:p w14:paraId="18DB11B3" w14:textId="51AD021F" w:rsidR="005502C3" w:rsidRDefault="005502C3" w:rsidP="007646FD">
      <w:pPr>
        <w:rPr>
          <w:rtl/>
        </w:rPr>
      </w:pPr>
      <w:r>
        <w:rPr>
          <w:rFonts w:hint="cs"/>
          <w:rtl/>
        </w:rPr>
        <w:t>هذا المثال الثاني يتناسب مع مباني الأصحاب أيضاً ولا يختصّ بمباني أستاذنا الشهيد رضوان الله تعالى عليه.</w:t>
      </w:r>
    </w:p>
    <w:p w14:paraId="45A3B1CE" w14:textId="59EECA4A" w:rsidR="00931CDD" w:rsidRPr="00931CDD" w:rsidRDefault="00931CDD" w:rsidP="007646FD">
      <w:r w:rsidRPr="00931CDD">
        <w:rPr>
          <w:rtl/>
        </w:rPr>
        <w:t xml:space="preserve">ولكنّ بعض الأصحاب قالوا بعدم جريان هذا الأصل الطوليّ بعد سقوط الاستصحاب، وبالتالي </w:t>
      </w:r>
      <w:r w:rsidR="00392649">
        <w:rPr>
          <w:rFonts w:hint="cs"/>
          <w:rtl/>
        </w:rPr>
        <w:t xml:space="preserve">فيلغى </w:t>
      </w:r>
      <w:r w:rsidRPr="00931CDD">
        <w:rPr>
          <w:rtl/>
        </w:rPr>
        <w:t>هذه الصورة الثالثة</w:t>
      </w:r>
      <w:r w:rsidR="00392649">
        <w:rPr>
          <w:rFonts w:hint="cs"/>
          <w:rtl/>
        </w:rPr>
        <w:t xml:space="preserve">، </w:t>
      </w:r>
      <w:r w:rsidRPr="00931CDD">
        <w:rPr>
          <w:rtl/>
        </w:rPr>
        <w:t xml:space="preserve">إمّا إطلاقا </w:t>
      </w:r>
      <w:r w:rsidR="00392649">
        <w:rPr>
          <w:rtl/>
        </w:rPr>
        <w:t>–</w:t>
      </w:r>
      <w:r w:rsidR="00392649">
        <w:rPr>
          <w:rFonts w:hint="cs"/>
          <w:rtl/>
        </w:rPr>
        <w:t xml:space="preserve"> </w:t>
      </w:r>
      <w:r w:rsidRPr="00931CDD">
        <w:rPr>
          <w:rtl/>
        </w:rPr>
        <w:t>بأنّه</w:t>
      </w:r>
      <w:r w:rsidR="00392649">
        <w:rPr>
          <w:rFonts w:hint="cs"/>
          <w:rtl/>
        </w:rPr>
        <w:t>ا</w:t>
      </w:r>
      <w:r w:rsidRPr="00931CDD">
        <w:rPr>
          <w:rtl/>
        </w:rPr>
        <w:t xml:space="preserve"> لا </w:t>
      </w:r>
      <w:r w:rsidR="00392649">
        <w:rPr>
          <w:rFonts w:hint="cs"/>
          <w:rtl/>
        </w:rPr>
        <w:t>ت</w:t>
      </w:r>
      <w:r w:rsidRPr="00931CDD">
        <w:rPr>
          <w:rtl/>
        </w:rPr>
        <w:t>جري أبدا</w:t>
      </w:r>
      <w:r w:rsidR="00392649">
        <w:rPr>
          <w:rFonts w:hint="cs"/>
          <w:rtl/>
        </w:rPr>
        <w:t>ً</w:t>
      </w:r>
      <w:r w:rsidRPr="00931CDD">
        <w:rPr>
          <w:rtl/>
        </w:rPr>
        <w:t xml:space="preserve"> </w:t>
      </w:r>
      <w:r w:rsidR="00392649">
        <w:rPr>
          <w:rtl/>
        </w:rPr>
        <w:t>–</w:t>
      </w:r>
      <w:r w:rsidRPr="00931CDD">
        <w:rPr>
          <w:rtl/>
        </w:rPr>
        <w:t xml:space="preserve"> أو أنّه</w:t>
      </w:r>
      <w:r w:rsidR="00392649">
        <w:rPr>
          <w:rFonts w:hint="cs"/>
          <w:rtl/>
        </w:rPr>
        <w:t>ا</w:t>
      </w:r>
      <w:r w:rsidRPr="00931CDD">
        <w:rPr>
          <w:rtl/>
        </w:rPr>
        <w:t xml:space="preserve"> </w:t>
      </w:r>
      <w:r w:rsidR="00392649">
        <w:rPr>
          <w:rFonts w:hint="cs"/>
          <w:rtl/>
        </w:rPr>
        <w:t>ت</w:t>
      </w:r>
      <w:r w:rsidRPr="00931CDD">
        <w:rPr>
          <w:rtl/>
        </w:rPr>
        <w:t xml:space="preserve">جري في بعض </w:t>
      </w:r>
      <w:r w:rsidR="00392649">
        <w:rPr>
          <w:rFonts w:hint="cs"/>
          <w:rtl/>
        </w:rPr>
        <w:t xml:space="preserve">الأحيان </w:t>
      </w:r>
      <w:r w:rsidRPr="00931CDD">
        <w:rPr>
          <w:rtl/>
        </w:rPr>
        <w:t>دون الآخر.</w:t>
      </w:r>
    </w:p>
    <w:p w14:paraId="6BC9BBF6" w14:textId="2A04D3C6" w:rsidR="009F60BF" w:rsidRDefault="00931CDD" w:rsidP="009F60BF">
      <w:pPr>
        <w:rPr>
          <w:rtl/>
        </w:rPr>
      </w:pPr>
      <w:r w:rsidRPr="00931CDD">
        <w:rPr>
          <w:rtl/>
        </w:rPr>
        <w:t>ذكروا وجوها</w:t>
      </w:r>
      <w:r w:rsidR="009F60BF">
        <w:rPr>
          <w:rFonts w:hint="cs"/>
          <w:rtl/>
        </w:rPr>
        <w:t>ً</w:t>
      </w:r>
      <w:r w:rsidRPr="00931CDD">
        <w:rPr>
          <w:rtl/>
        </w:rPr>
        <w:t xml:space="preserve"> ثلاثة لتقريب دعواهم</w:t>
      </w:r>
      <w:r w:rsidR="009F60BF">
        <w:rPr>
          <w:rFonts w:hint="cs"/>
          <w:rtl/>
        </w:rPr>
        <w:t>.</w:t>
      </w:r>
      <w:r w:rsidRPr="00931CDD">
        <w:rPr>
          <w:rtl/>
        </w:rPr>
        <w:t xml:space="preserve"> الوجه الأوّل والثاني للمحقّق النائينيّ</w:t>
      </w:r>
      <w:r w:rsidR="00672E7D">
        <w:rPr>
          <w:rFonts w:hint="cs"/>
          <w:rtl/>
        </w:rPr>
        <w:t xml:space="preserve"> [والوجه الثالث للسيّد الخوئيّ] </w:t>
      </w:r>
      <w:r w:rsidR="00672E7D">
        <w:rPr>
          <w:rFonts w:hint="cs"/>
          <w:rtl/>
        </w:rPr>
        <w:t>رضوان الله تعالى عليهما</w:t>
      </w:r>
      <w:r w:rsidR="00672E7D">
        <w:rPr>
          <w:rFonts w:hint="cs"/>
          <w:rtl/>
        </w:rPr>
        <w:t>.</w:t>
      </w:r>
    </w:p>
    <w:p w14:paraId="15A2CC29" w14:textId="0A75254F" w:rsidR="001843DE" w:rsidRDefault="009F60BF" w:rsidP="009F60BF">
      <w:pPr>
        <w:rPr>
          <w:rtl/>
        </w:rPr>
      </w:pPr>
      <w:r>
        <w:rPr>
          <w:rFonts w:hint="cs"/>
          <w:rtl/>
        </w:rPr>
        <w:t xml:space="preserve">الوجه الأوّل الذي ذكره المحقّق النائينيّ رحمه الله </w:t>
      </w:r>
      <w:r w:rsidR="00672E7D">
        <w:rPr>
          <w:rFonts w:hint="cs"/>
          <w:rtl/>
        </w:rPr>
        <w:t xml:space="preserve">لإثبات </w:t>
      </w:r>
      <w:r w:rsidR="00931CDD" w:rsidRPr="00931CDD">
        <w:rPr>
          <w:rtl/>
        </w:rPr>
        <w:t xml:space="preserve">عدم جريان </w:t>
      </w:r>
      <w:r w:rsidR="00672E7D">
        <w:rPr>
          <w:rFonts w:hint="cs"/>
          <w:rtl/>
        </w:rPr>
        <w:t xml:space="preserve">هذا الأصل المؤمّن الطوليّ، </w:t>
      </w:r>
      <w:r w:rsidR="001843DE">
        <w:rPr>
          <w:rFonts w:hint="cs"/>
          <w:rtl/>
        </w:rPr>
        <w:t xml:space="preserve">هو أنّ </w:t>
      </w:r>
      <w:r w:rsidR="00931CDD" w:rsidRPr="00931CDD">
        <w:rPr>
          <w:rtl/>
        </w:rPr>
        <w:t xml:space="preserve">الاستصحاب </w:t>
      </w:r>
      <w:r w:rsidR="001843DE">
        <w:rPr>
          <w:rFonts w:hint="cs"/>
          <w:rtl/>
        </w:rPr>
        <w:t xml:space="preserve">والأصل الطوليّ (أي أصالة الطهارة) في هذا الطرف </w:t>
      </w:r>
      <w:r w:rsidR="00C26371">
        <w:rPr>
          <w:rFonts w:hint="cs"/>
          <w:rtl/>
        </w:rPr>
        <w:t xml:space="preserve">يكونان معاً طرفاً للتعارض </w:t>
      </w:r>
      <w:r w:rsidR="00931CDD" w:rsidRPr="00931CDD">
        <w:rPr>
          <w:rtl/>
        </w:rPr>
        <w:t xml:space="preserve">مع الأصل </w:t>
      </w:r>
      <w:r w:rsidR="001843DE">
        <w:rPr>
          <w:rFonts w:hint="cs"/>
          <w:rtl/>
        </w:rPr>
        <w:t xml:space="preserve">المؤمّن </w:t>
      </w:r>
      <w:r w:rsidR="00931CDD" w:rsidRPr="00931CDD">
        <w:rPr>
          <w:rtl/>
        </w:rPr>
        <w:t>في الطرف الآخر</w:t>
      </w:r>
      <w:r w:rsidR="00C26371">
        <w:rPr>
          <w:rFonts w:hint="cs"/>
          <w:rtl/>
        </w:rPr>
        <w:t>، فيسقطان معاً.</w:t>
      </w:r>
    </w:p>
    <w:p w14:paraId="0B91A649" w14:textId="7CA0502C" w:rsidR="00931CDD" w:rsidRPr="00931CDD" w:rsidRDefault="001843DE" w:rsidP="00716F7D">
      <w:pPr>
        <w:rPr>
          <w:rtl/>
        </w:rPr>
      </w:pPr>
      <w:r>
        <w:rPr>
          <w:rFonts w:hint="cs"/>
          <w:rtl/>
        </w:rPr>
        <w:t>لماذا؟</w:t>
      </w:r>
      <w:r w:rsidR="00931CDD" w:rsidRPr="00931CDD">
        <w:rPr>
          <w:rtl/>
        </w:rPr>
        <w:t xml:space="preserve"> لأنّ المجعول بالجعل الاستصحابيّ والمجعول بالأصل المؤمّن الطوليّ – وهو أصالة الطهارة – مجعول واحد</w:t>
      </w:r>
      <w:r w:rsidR="00C26371">
        <w:rPr>
          <w:rFonts w:hint="cs"/>
          <w:rtl/>
        </w:rPr>
        <w:t>.</w:t>
      </w:r>
      <w:r w:rsidR="00931CDD" w:rsidRPr="00931CDD">
        <w:rPr>
          <w:rtl/>
        </w:rPr>
        <w:t xml:space="preserve"> </w:t>
      </w:r>
      <w:r w:rsidR="00C26371">
        <w:rPr>
          <w:rFonts w:hint="cs"/>
          <w:rtl/>
        </w:rPr>
        <w:t xml:space="preserve">هما </w:t>
      </w:r>
      <w:r w:rsidR="00931CDD" w:rsidRPr="00931CDD">
        <w:rPr>
          <w:rtl/>
        </w:rPr>
        <w:t>متّحدان</w:t>
      </w:r>
      <w:r w:rsidR="00A01E4A">
        <w:rPr>
          <w:rFonts w:hint="cs"/>
          <w:rtl/>
        </w:rPr>
        <w:t>.</w:t>
      </w:r>
      <w:r w:rsidR="00931CDD" w:rsidRPr="00931CDD">
        <w:rPr>
          <w:rtl/>
        </w:rPr>
        <w:t xml:space="preserve"> </w:t>
      </w:r>
      <w:r w:rsidR="00A01E4A">
        <w:rPr>
          <w:rFonts w:hint="cs"/>
          <w:rtl/>
        </w:rPr>
        <w:t>صحيح أنّه الجعل جعلان</w:t>
      </w:r>
      <w:r w:rsidR="00C26371">
        <w:rPr>
          <w:rFonts w:hint="cs"/>
          <w:rtl/>
        </w:rPr>
        <w:t>،</w:t>
      </w:r>
      <w:r w:rsidR="00931CDD" w:rsidRPr="00931CDD">
        <w:rPr>
          <w:rtl/>
        </w:rPr>
        <w:t xml:space="preserve"> </w:t>
      </w:r>
      <w:r w:rsidR="00A01E4A">
        <w:rPr>
          <w:rFonts w:hint="cs"/>
          <w:rtl/>
        </w:rPr>
        <w:t xml:space="preserve">جعل التأمين عن النجاسة هنا </w:t>
      </w:r>
      <w:r w:rsidR="00931CDD" w:rsidRPr="00931CDD">
        <w:rPr>
          <w:rtl/>
        </w:rPr>
        <w:t>تارة</w:t>
      </w:r>
      <w:r w:rsidR="00C26371">
        <w:rPr>
          <w:rFonts w:hint="cs"/>
          <w:rtl/>
        </w:rPr>
        <w:t>ً</w:t>
      </w:r>
      <w:r w:rsidR="00931CDD" w:rsidRPr="00931CDD">
        <w:rPr>
          <w:rtl/>
        </w:rPr>
        <w:t xml:space="preserve"> بلسان الاستصحاب وتارة بلسان أصالة الطهارة. ولكنّ المجعول فيهما شيء واحد وهو التأمين عن النجاسة</w:t>
      </w:r>
      <w:r w:rsidR="00A01E4A">
        <w:rPr>
          <w:rFonts w:hint="cs"/>
          <w:rtl/>
        </w:rPr>
        <w:t xml:space="preserve">، أو </w:t>
      </w:r>
      <w:r w:rsidR="00931CDD" w:rsidRPr="00931CDD">
        <w:rPr>
          <w:rtl/>
        </w:rPr>
        <w:t>الطهارة الظاهريّة أو قل نفي النجاسة ظاهرا</w:t>
      </w:r>
      <w:r w:rsidR="00A01E4A">
        <w:rPr>
          <w:rFonts w:hint="cs"/>
          <w:rtl/>
        </w:rPr>
        <w:t>ً</w:t>
      </w:r>
      <w:r w:rsidR="00931CDD" w:rsidRPr="00931CDD">
        <w:rPr>
          <w:rtl/>
        </w:rPr>
        <w:t xml:space="preserve">. وهذا المجعول </w:t>
      </w:r>
      <w:r w:rsidR="00A01E4A">
        <w:rPr>
          <w:rFonts w:hint="cs"/>
          <w:rtl/>
        </w:rPr>
        <w:t xml:space="preserve">الواحد </w:t>
      </w:r>
      <w:r w:rsidR="00931CDD" w:rsidRPr="00931CDD">
        <w:rPr>
          <w:rtl/>
        </w:rPr>
        <w:t xml:space="preserve">هو الطرف للتعارض مع </w:t>
      </w:r>
      <w:r w:rsidR="00A01E4A">
        <w:rPr>
          <w:rFonts w:hint="cs"/>
          <w:rtl/>
        </w:rPr>
        <w:t>المجعول ل</w:t>
      </w:r>
      <w:r w:rsidR="00931CDD" w:rsidRPr="00931CDD">
        <w:rPr>
          <w:rtl/>
        </w:rPr>
        <w:t xml:space="preserve">أصالة الطهارة في الطرف الآخر </w:t>
      </w:r>
      <w:r w:rsidR="00A01E4A">
        <w:rPr>
          <w:rtl/>
        </w:rPr>
        <w:t>–</w:t>
      </w:r>
      <w:r w:rsidR="00931CDD" w:rsidRPr="00931CDD">
        <w:rPr>
          <w:rtl/>
        </w:rPr>
        <w:t xml:space="preserve"> </w:t>
      </w:r>
      <w:r w:rsidR="00A01E4A">
        <w:rPr>
          <w:rFonts w:hint="cs"/>
          <w:rtl/>
        </w:rPr>
        <w:t>الذي لا يجري</w:t>
      </w:r>
      <w:r w:rsidR="00931CDD" w:rsidRPr="00931CDD">
        <w:rPr>
          <w:rtl/>
        </w:rPr>
        <w:t xml:space="preserve"> </w:t>
      </w:r>
      <w:r w:rsidR="00A01E4A">
        <w:rPr>
          <w:rFonts w:hint="cs"/>
          <w:rtl/>
        </w:rPr>
        <w:t xml:space="preserve">فيه </w:t>
      </w:r>
      <w:r w:rsidR="00931CDD" w:rsidRPr="00931CDD">
        <w:rPr>
          <w:rtl/>
        </w:rPr>
        <w:t>الاستصحاب</w:t>
      </w:r>
      <w:r w:rsidR="00A01E4A">
        <w:rPr>
          <w:rFonts w:hint="cs"/>
          <w:rtl/>
        </w:rPr>
        <w:t xml:space="preserve"> </w:t>
      </w:r>
      <w:r w:rsidR="00931CDD" w:rsidRPr="00931CDD">
        <w:rPr>
          <w:rtl/>
        </w:rPr>
        <w:t xml:space="preserve">- فيتساقطان، وبعد ذلك فلا دور لأصالة الطهارة في هذا الطرف </w:t>
      </w:r>
      <w:r w:rsidR="00A01E4A">
        <w:rPr>
          <w:rFonts w:hint="cs"/>
          <w:rtl/>
        </w:rPr>
        <w:t xml:space="preserve">الثاني </w:t>
      </w:r>
      <w:r w:rsidR="00931CDD" w:rsidRPr="00931CDD">
        <w:rPr>
          <w:rtl/>
        </w:rPr>
        <w:t xml:space="preserve">الذي </w:t>
      </w:r>
      <w:r w:rsidR="00A01E4A">
        <w:rPr>
          <w:rFonts w:hint="cs"/>
          <w:rtl/>
        </w:rPr>
        <w:t>كان مجرى للاستصحاب وسقط فيه استصحابه. لأنّ الساقط هو المجعول الاستصحابي</w:t>
      </w:r>
      <w:r w:rsidR="00716F7D">
        <w:rPr>
          <w:rFonts w:hint="cs"/>
          <w:rtl/>
        </w:rPr>
        <w:t>ّ</w:t>
      </w:r>
      <w:r w:rsidR="00A01E4A">
        <w:rPr>
          <w:rFonts w:hint="cs"/>
          <w:rtl/>
        </w:rPr>
        <w:t xml:space="preserve"> الذي هو نفس المجعول لأصالة الطهارة هنا.</w:t>
      </w:r>
      <w:r w:rsidR="00716F7D">
        <w:rPr>
          <w:rFonts w:hint="cs"/>
          <w:rtl/>
        </w:rPr>
        <w:t xml:space="preserve"> </w:t>
      </w:r>
      <w:r w:rsidR="00931CDD" w:rsidRPr="00931CDD">
        <w:rPr>
          <w:rtl/>
        </w:rPr>
        <w:t xml:space="preserve">نعم، لو كان الساقط هو الاستصحاب فقط، </w:t>
      </w:r>
      <w:r w:rsidR="00716F7D">
        <w:rPr>
          <w:rFonts w:hint="cs"/>
          <w:rtl/>
        </w:rPr>
        <w:t xml:space="preserve">كان </w:t>
      </w:r>
      <w:r w:rsidR="00931CDD" w:rsidRPr="00931CDD">
        <w:rPr>
          <w:rtl/>
        </w:rPr>
        <w:t>بإمكان أصالة الطهارة الطوليّة أن تجري بعد</w:t>
      </w:r>
      <w:r w:rsidR="00716F7D">
        <w:rPr>
          <w:rFonts w:hint="cs"/>
          <w:rtl/>
        </w:rPr>
        <w:t>ه</w:t>
      </w:r>
      <w:r w:rsidR="00931CDD" w:rsidRPr="00931CDD">
        <w:rPr>
          <w:rtl/>
        </w:rPr>
        <w:t>.</w:t>
      </w:r>
    </w:p>
    <w:p w14:paraId="78667AFD" w14:textId="0039330E" w:rsidR="00931CDD" w:rsidRPr="00931CDD" w:rsidRDefault="00931CDD" w:rsidP="00716F7D">
      <w:pPr>
        <w:rPr>
          <w:rtl/>
        </w:rPr>
      </w:pPr>
      <w:r w:rsidRPr="00931CDD">
        <w:rPr>
          <w:rtl/>
        </w:rPr>
        <w:t>هذا من غرائب المحقّق النائينيّ</w:t>
      </w:r>
      <w:r w:rsidR="00716F7D">
        <w:rPr>
          <w:rFonts w:hint="cs"/>
          <w:rtl/>
        </w:rPr>
        <w:t xml:space="preserve"> رضوان الله تعالى عليه، </w:t>
      </w:r>
      <w:r w:rsidRPr="00931CDD">
        <w:rPr>
          <w:rtl/>
        </w:rPr>
        <w:t xml:space="preserve">والمحقّق العراقي </w:t>
      </w:r>
      <w:r w:rsidR="00F54D96">
        <w:rPr>
          <w:rFonts w:hint="cs"/>
          <w:rtl/>
        </w:rPr>
        <w:t xml:space="preserve">رحمه الله </w:t>
      </w:r>
      <w:r w:rsidRPr="00931CDD">
        <w:rPr>
          <w:rtl/>
        </w:rPr>
        <w:t>صار بصدد الرد</w:t>
      </w:r>
      <w:r w:rsidR="00716F7D">
        <w:rPr>
          <w:rFonts w:hint="cs"/>
          <w:rtl/>
        </w:rPr>
        <w:t>ّ</w:t>
      </w:r>
      <w:r w:rsidRPr="00931CDD">
        <w:rPr>
          <w:rtl/>
        </w:rPr>
        <w:t xml:space="preserve"> على هذا الوجه بإيرادين:</w:t>
      </w:r>
    </w:p>
    <w:p w14:paraId="0E8942B6" w14:textId="515A9027" w:rsidR="00931CDD" w:rsidRPr="00931CDD" w:rsidRDefault="005A25A0" w:rsidP="00931CDD">
      <w:pPr>
        <w:rPr>
          <w:rtl/>
        </w:rPr>
      </w:pPr>
      <w:r>
        <w:rPr>
          <w:rFonts w:hint="cs"/>
          <w:rtl/>
        </w:rPr>
        <w:t xml:space="preserve">الإيراد </w:t>
      </w:r>
      <w:r w:rsidR="00931CDD" w:rsidRPr="00931CDD">
        <w:rPr>
          <w:rtl/>
        </w:rPr>
        <w:t>الأولّ: عدم اتّحاد المجعول بالجعل الاستصحابيّ مع المجعول بجعل أصالة الطهارة؛ حيث إنّ الاستصحاب يجعل المتيقّن السابق باقيا</w:t>
      </w:r>
      <w:r w:rsidR="00F54D96">
        <w:rPr>
          <w:rFonts w:hint="cs"/>
          <w:rtl/>
        </w:rPr>
        <w:t>ً</w:t>
      </w:r>
      <w:r w:rsidR="00931CDD" w:rsidRPr="00931CDD">
        <w:rPr>
          <w:rtl/>
        </w:rPr>
        <w:t xml:space="preserve"> تعبّدا</w:t>
      </w:r>
      <w:r w:rsidR="00F54D96">
        <w:rPr>
          <w:rFonts w:hint="cs"/>
          <w:rtl/>
        </w:rPr>
        <w:t>ً</w:t>
      </w:r>
      <w:r w:rsidR="00931CDD" w:rsidRPr="00931CDD">
        <w:rPr>
          <w:rtl/>
        </w:rPr>
        <w:t xml:space="preserve"> بينما أنّ أصالة الطهارة تجعل مشكوك الطهارة طاهرا</w:t>
      </w:r>
      <w:r w:rsidR="00F54D96">
        <w:rPr>
          <w:rFonts w:hint="cs"/>
          <w:rtl/>
        </w:rPr>
        <w:t>ً</w:t>
      </w:r>
      <w:r w:rsidR="00931CDD" w:rsidRPr="00931CDD">
        <w:rPr>
          <w:rtl/>
        </w:rPr>
        <w:t xml:space="preserve"> بالتعبّد.</w:t>
      </w:r>
      <w:r w:rsidR="00D860A4">
        <w:rPr>
          <w:rFonts w:hint="cs"/>
          <w:rtl/>
        </w:rPr>
        <w:t xml:space="preserve"> وهذان ليسا متّحدان.</w:t>
      </w:r>
    </w:p>
    <w:p w14:paraId="42D0EAE7" w14:textId="3F7F32C1" w:rsidR="00931CDD" w:rsidRPr="00931CDD" w:rsidRDefault="00931CDD" w:rsidP="00931CDD">
      <w:pPr>
        <w:rPr>
          <w:rtl/>
        </w:rPr>
      </w:pPr>
      <w:r w:rsidRPr="00931CDD">
        <w:rPr>
          <w:rtl/>
        </w:rPr>
        <w:t xml:space="preserve">ويعلّق عليه أستاذنا الشهيد رضوان الله تعالى عليه بعدم معلوميّة مراد المحقّق النائينيّ بقوله: إنّ المجعولين أحدهما عين الآخر؛ فإنّه إن قصد بذلك أنّ </w:t>
      </w:r>
      <w:r w:rsidR="00D860A4">
        <w:rPr>
          <w:rFonts w:hint="cs"/>
          <w:rtl/>
        </w:rPr>
        <w:t>«</w:t>
      </w:r>
      <w:r w:rsidRPr="00931CDD">
        <w:rPr>
          <w:rtl/>
        </w:rPr>
        <w:t>المُنش</w:t>
      </w:r>
      <w:r w:rsidR="00D860A4">
        <w:rPr>
          <w:rFonts w:hint="cs"/>
          <w:rtl/>
        </w:rPr>
        <w:t>َ</w:t>
      </w:r>
      <w:r w:rsidRPr="00931CDD">
        <w:rPr>
          <w:rtl/>
        </w:rPr>
        <w:t>أ</w:t>
      </w:r>
      <w:r w:rsidR="00D860A4">
        <w:rPr>
          <w:rFonts w:hint="cs"/>
          <w:rtl/>
        </w:rPr>
        <w:t>»</w:t>
      </w:r>
      <w:r w:rsidRPr="00931CDD">
        <w:rPr>
          <w:rtl/>
        </w:rPr>
        <w:t xml:space="preserve"> بإنشاء دليل الاستصحاب و</w:t>
      </w:r>
      <w:r w:rsidR="00D860A4">
        <w:rPr>
          <w:rFonts w:hint="cs"/>
          <w:rtl/>
        </w:rPr>
        <w:t>«</w:t>
      </w:r>
      <w:r w:rsidRPr="00931CDD">
        <w:rPr>
          <w:rtl/>
        </w:rPr>
        <w:t>المنشأ</w:t>
      </w:r>
      <w:r w:rsidR="00D860A4">
        <w:rPr>
          <w:rFonts w:hint="cs"/>
          <w:rtl/>
        </w:rPr>
        <w:t>»</w:t>
      </w:r>
      <w:r w:rsidRPr="00931CDD">
        <w:rPr>
          <w:rtl/>
        </w:rPr>
        <w:t xml:space="preserve"> بإنشاء دليل أصالة الطهارة واحد فالإيراد وارد.</w:t>
      </w:r>
    </w:p>
    <w:p w14:paraId="63D06EE4" w14:textId="4C8FD0B2" w:rsidR="00931CDD" w:rsidRPr="00931CDD" w:rsidRDefault="00931CDD" w:rsidP="00931CDD">
      <w:pPr>
        <w:rPr>
          <w:rtl/>
        </w:rPr>
      </w:pPr>
      <w:r w:rsidRPr="00931CDD">
        <w:rPr>
          <w:rtl/>
        </w:rPr>
        <w:t>وإن قصد أنّ لبّ المراد بالاستصحاب ولبّ المراد بأصالة الطهارة واحد؛ لأنّه هو التأمين عن النجاسة المحتملة، فلا يرد إيراد المحقّق العراقيّ</w:t>
      </w:r>
      <w:r w:rsidR="00D860A4">
        <w:rPr>
          <w:rFonts w:hint="cs"/>
          <w:rtl/>
        </w:rPr>
        <w:t xml:space="preserve"> رحمه الله</w:t>
      </w:r>
      <w:r w:rsidRPr="00931CDD">
        <w:rPr>
          <w:rtl/>
        </w:rPr>
        <w:t>؛ لأنّ لبّ</w:t>
      </w:r>
      <w:r w:rsidR="00D860A4">
        <w:rPr>
          <w:rFonts w:hint="cs"/>
          <w:rtl/>
        </w:rPr>
        <w:t xml:space="preserve"> المراد منهما</w:t>
      </w:r>
      <w:r w:rsidRPr="00931CDD">
        <w:rPr>
          <w:rtl/>
        </w:rPr>
        <w:t xml:space="preserve"> واحد</w:t>
      </w:r>
      <w:r w:rsidR="00D860A4">
        <w:rPr>
          <w:rFonts w:hint="cs"/>
          <w:rtl/>
        </w:rPr>
        <w:t xml:space="preserve"> حقّاً</w:t>
      </w:r>
      <w:r w:rsidRPr="00931CDD">
        <w:rPr>
          <w:rtl/>
        </w:rPr>
        <w:t>.</w:t>
      </w:r>
    </w:p>
    <w:p w14:paraId="4E3B0BE6" w14:textId="4CF23FD6" w:rsidR="00931CDD" w:rsidRPr="00931CDD" w:rsidRDefault="005A25A0" w:rsidP="00931CDD">
      <w:pPr>
        <w:rPr>
          <w:rtl/>
        </w:rPr>
      </w:pPr>
      <w:r>
        <w:rPr>
          <w:rFonts w:hint="cs"/>
          <w:rtl/>
        </w:rPr>
        <w:lastRenderedPageBreak/>
        <w:t xml:space="preserve">الإيراد </w:t>
      </w:r>
      <w:r w:rsidR="00931CDD" w:rsidRPr="00931CDD">
        <w:rPr>
          <w:rtl/>
        </w:rPr>
        <w:t>الثاني: أنّه لو سلّمنا أنّ المجعولين شيء واحد، وسلمّنا أنّ هذا المجعول الذي هو شيء واحد وقع طرفا</w:t>
      </w:r>
      <w:r>
        <w:rPr>
          <w:rFonts w:hint="cs"/>
          <w:rtl/>
        </w:rPr>
        <w:t>ً</w:t>
      </w:r>
      <w:r w:rsidR="00931CDD" w:rsidRPr="00931CDD">
        <w:rPr>
          <w:rtl/>
        </w:rPr>
        <w:t xml:space="preserve"> للتعارض مع المجعول في الطرف الأوّل الذي لا استصحاب فيه، </w:t>
      </w:r>
      <w:r>
        <w:rPr>
          <w:rFonts w:hint="cs"/>
          <w:rtl/>
        </w:rPr>
        <w:t xml:space="preserve">ولكن هذا لا يعني </w:t>
      </w:r>
      <w:r w:rsidR="00931CDD" w:rsidRPr="00931CDD">
        <w:rPr>
          <w:rtl/>
        </w:rPr>
        <w:t>تساقط المجعولين بقطع النظر عن دليليهما.</w:t>
      </w:r>
    </w:p>
    <w:p w14:paraId="4A44660C" w14:textId="2446F1BD" w:rsidR="00931CDD" w:rsidRPr="00931CDD" w:rsidRDefault="00931CDD" w:rsidP="00931CDD">
      <w:pPr>
        <w:rPr>
          <w:rtl/>
        </w:rPr>
      </w:pPr>
      <w:r w:rsidRPr="00931CDD">
        <w:rPr>
          <w:rtl/>
        </w:rPr>
        <w:t>وفي الحلقة الثالث – أظنّ – أنّ أستاذنا الشهيد قال: عندما يقع التنافي في مدلولي دليلين يقع التعارض بين دليليهما؛ حيث إنّ التعارض بلحاظ حيثيّة الدلالة، لا بلحاظ ما وقع التنافي بينهما.</w:t>
      </w:r>
    </w:p>
    <w:p w14:paraId="4FBA6309" w14:textId="4F6B0492" w:rsidR="00A80CC0" w:rsidRDefault="00931CDD" w:rsidP="00931CDD">
      <w:pPr>
        <w:rPr>
          <w:rtl/>
        </w:rPr>
      </w:pPr>
      <w:r w:rsidRPr="00931CDD">
        <w:rPr>
          <w:rtl/>
        </w:rPr>
        <w:t>فمثلا</w:t>
      </w:r>
      <w:r w:rsidR="00A80CC0">
        <w:rPr>
          <w:rFonts w:hint="cs"/>
          <w:rtl/>
        </w:rPr>
        <w:t>ً</w:t>
      </w:r>
      <w:r w:rsidRPr="00931CDD">
        <w:rPr>
          <w:rtl/>
        </w:rPr>
        <w:t xml:space="preserve"> إذا تعارض خبران </w:t>
      </w:r>
      <w:r w:rsidR="00A80CC0">
        <w:rPr>
          <w:rFonts w:hint="cs"/>
          <w:rtl/>
        </w:rPr>
        <w:t>دلّ</w:t>
      </w:r>
      <w:r w:rsidRPr="00931CDD">
        <w:rPr>
          <w:rtl/>
        </w:rPr>
        <w:t xml:space="preserve"> أحدهما على وجوب </w:t>
      </w:r>
      <w:r w:rsidR="00A80CC0">
        <w:rPr>
          <w:rFonts w:hint="cs"/>
          <w:rtl/>
        </w:rPr>
        <w:t>إكرام الفقير</w:t>
      </w:r>
      <w:r w:rsidRPr="00931CDD">
        <w:rPr>
          <w:rtl/>
        </w:rPr>
        <w:t xml:space="preserve"> والآخر على </w:t>
      </w:r>
      <w:r w:rsidR="00A80CC0">
        <w:rPr>
          <w:rFonts w:hint="cs"/>
          <w:rtl/>
        </w:rPr>
        <w:t>عدم وجوبه</w:t>
      </w:r>
      <w:r w:rsidRPr="00931CDD">
        <w:rPr>
          <w:rtl/>
        </w:rPr>
        <w:t>، فحينئذ هل يتساقط الوجوب مع عدم الوجوب؟ أم يتساقط دليل الدالّ على هذا الوجوب ودليل الدالّ على عدم الوجوب؟</w:t>
      </w:r>
      <w:r w:rsidR="00A80CC0">
        <w:rPr>
          <w:rFonts w:hint="cs"/>
          <w:rtl/>
        </w:rPr>
        <w:t xml:space="preserve"> الدليلان يتعارضان ويتساقطان!</w:t>
      </w:r>
      <w:r w:rsidRPr="00931CDD">
        <w:rPr>
          <w:rtl/>
        </w:rPr>
        <w:t xml:space="preserve"> </w:t>
      </w:r>
      <w:r w:rsidR="00A80CC0">
        <w:rPr>
          <w:rFonts w:hint="cs"/>
          <w:rtl/>
        </w:rPr>
        <w:t>حيثيّة الدلالة دخيلة في التعارض والتساقط، لا ذات الشيئين المتنافيين!</w:t>
      </w:r>
    </w:p>
    <w:p w14:paraId="3D0BBEFD" w14:textId="23A52AB0" w:rsidR="00931CDD" w:rsidRPr="00931CDD" w:rsidRDefault="00A80CC0" w:rsidP="00931CDD">
      <w:pPr>
        <w:rPr>
          <w:rtl/>
        </w:rPr>
      </w:pPr>
      <w:r>
        <w:rPr>
          <w:rFonts w:hint="cs"/>
          <w:rtl/>
        </w:rPr>
        <w:t xml:space="preserve">فإذا سلّمنا أنّ ذات الشيئين المتنافيين هما المجعول هنا والمجعول هناك، لكن عند حصول التعارض، يقع التعارض بين هذا المجعول الذي فيه حيثيّتان للدلالة، حيثيّةٌ استصحابيّة، ومع </w:t>
      </w:r>
      <w:r w:rsidR="00B0237C">
        <w:rPr>
          <w:rFonts w:hint="cs"/>
          <w:rtl/>
        </w:rPr>
        <w:t>سقوط</w:t>
      </w:r>
      <w:r>
        <w:rPr>
          <w:rFonts w:hint="cs"/>
          <w:rtl/>
        </w:rPr>
        <w:t xml:space="preserve"> الاستصحاب تبقى فيه الحيثيّة أصالة الطهارتيّة.</w:t>
      </w:r>
    </w:p>
    <w:p w14:paraId="7125B5CB" w14:textId="1AC5AAE5" w:rsidR="00931CDD" w:rsidRPr="00931CDD" w:rsidRDefault="00931CDD" w:rsidP="00B0237C">
      <w:pPr>
        <w:rPr>
          <w:rtl/>
        </w:rPr>
      </w:pPr>
      <w:r w:rsidRPr="00931CDD">
        <w:rPr>
          <w:rtl/>
        </w:rPr>
        <w:t>فهنا نقول: لو سلّمنا أنّ ذات الشيئين المتنافيين هو: المجعول هنا والمجعول هناك، ولكن عند التعارض يتعارض هذا المجعول الذي فيه حيثيّتان للدلالة</w:t>
      </w:r>
      <w:r w:rsidR="00B0237C">
        <w:rPr>
          <w:rFonts w:hint="cs"/>
          <w:rtl/>
        </w:rPr>
        <w:t xml:space="preserve"> (</w:t>
      </w:r>
      <w:r w:rsidRPr="00931CDD">
        <w:rPr>
          <w:rtl/>
        </w:rPr>
        <w:t>حيثيّة استصحابيّة وإذا سقط الاستصحاب فحيثيّة أصالة الطهارتيّة</w:t>
      </w:r>
      <w:r w:rsidR="00B0237C">
        <w:rPr>
          <w:rFonts w:hint="cs"/>
          <w:rtl/>
        </w:rPr>
        <w:t>)</w:t>
      </w:r>
      <w:r w:rsidRPr="00931CDD">
        <w:rPr>
          <w:rtl/>
        </w:rPr>
        <w:t xml:space="preserve"> مع </w:t>
      </w:r>
      <w:r w:rsidR="00B0237C">
        <w:rPr>
          <w:rFonts w:hint="cs"/>
          <w:rtl/>
        </w:rPr>
        <w:t>المجعول</w:t>
      </w:r>
      <w:r w:rsidRPr="00931CDD">
        <w:rPr>
          <w:rtl/>
        </w:rPr>
        <w:t xml:space="preserve"> في الطرف الآخر، فيقع التعارض بينهما بلحاظ الحيثيّة الأولى، ويكون التساقط بلحاظ نفس هذه الحيثيّة. ثمّ يلتفت إلى لحاظ الحيثيّة الثانيّة وهي الطهارة الظاهريّة بحيثيّة دلالة أصالة الطهارة.</w:t>
      </w:r>
      <w:r w:rsidR="00B0237C">
        <w:rPr>
          <w:rFonts w:hint="cs"/>
          <w:rtl/>
        </w:rPr>
        <w:t xml:space="preserve"> </w:t>
      </w:r>
      <w:r w:rsidRPr="00931CDD">
        <w:rPr>
          <w:rtl/>
        </w:rPr>
        <w:t>فإنّه بحيثيّة الاستصحاب سقط دون حيثيّة أصالة الطهارة.</w:t>
      </w:r>
    </w:p>
    <w:p w14:paraId="4EBC1678" w14:textId="2C39C76B" w:rsidR="00931CDD" w:rsidRPr="00931CDD" w:rsidRDefault="00931CDD" w:rsidP="00931CDD">
      <w:pPr>
        <w:rPr>
          <w:rtl/>
        </w:rPr>
      </w:pPr>
      <w:r w:rsidRPr="00931CDD">
        <w:rPr>
          <w:rtl/>
        </w:rPr>
        <w:t>وهذا ما أورد المحققّ العراقيّ ثانيا</w:t>
      </w:r>
      <w:r w:rsidR="00B0237C">
        <w:rPr>
          <w:rFonts w:hint="cs"/>
          <w:rtl/>
        </w:rPr>
        <w:t>ً</w:t>
      </w:r>
      <w:r w:rsidRPr="00931CDD">
        <w:rPr>
          <w:rtl/>
        </w:rPr>
        <w:t xml:space="preserve"> وقال عنه أستاذنا الشهيد رضوان الله تعالى عليه بأنّه </w:t>
      </w:r>
      <w:r w:rsidR="005A25A0">
        <w:rPr>
          <w:rFonts w:hint="cs"/>
          <w:rtl/>
        </w:rPr>
        <w:t>بغاية المتانة.</w:t>
      </w:r>
    </w:p>
    <w:sectPr w:rsidR="00931CDD" w:rsidRPr="00931CDD" w:rsidSect="00B137FE">
      <w:headerReference w:type="default" r:id="rId6"/>
      <w:footerReference w:type="default" r:id="rId7"/>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75995" w14:textId="77777777" w:rsidR="00F50E2F" w:rsidRDefault="00F50E2F" w:rsidP="007800A5">
      <w:r>
        <w:separator/>
      </w:r>
    </w:p>
  </w:endnote>
  <w:endnote w:type="continuationSeparator" w:id="0">
    <w:p w14:paraId="37860D4E" w14:textId="77777777" w:rsidR="00F50E2F" w:rsidRDefault="00F50E2F"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E1C3C" w14:textId="77777777" w:rsidR="00F50E2F" w:rsidRDefault="00F50E2F" w:rsidP="007800A5">
      <w:r>
        <w:separator/>
      </w:r>
    </w:p>
  </w:footnote>
  <w:footnote w:type="continuationSeparator" w:id="0">
    <w:p w14:paraId="670BB214" w14:textId="77777777" w:rsidR="00F50E2F" w:rsidRDefault="00F50E2F" w:rsidP="0078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00814167" w:rsidR="005C6485" w:rsidRPr="00E87D9D" w:rsidRDefault="00512753" w:rsidP="00E80511">
    <w:pPr>
      <w:ind w:firstLine="0"/>
      <w:rPr>
        <w:sz w:val="18"/>
        <w:szCs w:val="18"/>
        <w:rtl/>
      </w:rPr>
    </w:pPr>
    <w:r>
      <w:rPr>
        <w:rFonts w:hint="cs"/>
        <w:sz w:val="18"/>
        <w:szCs w:val="18"/>
        <w:rtl/>
      </w:rPr>
      <w:t>14</w:t>
    </w:r>
    <w:r w:rsidR="005C6485" w:rsidRPr="00E87D9D">
      <w:rPr>
        <w:sz w:val="18"/>
        <w:szCs w:val="18"/>
        <w:rtl/>
      </w:rPr>
      <w:t xml:space="preserve"> جمادى الآخرة</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5A2C"/>
    <w:rsid w:val="000151C2"/>
    <w:rsid w:val="00020373"/>
    <w:rsid w:val="00022B90"/>
    <w:rsid w:val="00026F56"/>
    <w:rsid w:val="00027AD2"/>
    <w:rsid w:val="000375C3"/>
    <w:rsid w:val="00053F38"/>
    <w:rsid w:val="00061DA3"/>
    <w:rsid w:val="000642CF"/>
    <w:rsid w:val="00074598"/>
    <w:rsid w:val="00080E3F"/>
    <w:rsid w:val="00084113"/>
    <w:rsid w:val="00084C47"/>
    <w:rsid w:val="00086902"/>
    <w:rsid w:val="00090B4F"/>
    <w:rsid w:val="00091866"/>
    <w:rsid w:val="000960C4"/>
    <w:rsid w:val="000A3EE6"/>
    <w:rsid w:val="000B4EEF"/>
    <w:rsid w:val="000D5E37"/>
    <w:rsid w:val="000E10AB"/>
    <w:rsid w:val="000E1A4C"/>
    <w:rsid w:val="000E4ADE"/>
    <w:rsid w:val="000E72F9"/>
    <w:rsid w:val="000F15EE"/>
    <w:rsid w:val="000F26C1"/>
    <w:rsid w:val="00100C79"/>
    <w:rsid w:val="0010665E"/>
    <w:rsid w:val="00115725"/>
    <w:rsid w:val="00117758"/>
    <w:rsid w:val="00120341"/>
    <w:rsid w:val="00120B3B"/>
    <w:rsid w:val="00130ACA"/>
    <w:rsid w:val="00135F41"/>
    <w:rsid w:val="001430D9"/>
    <w:rsid w:val="00143C6D"/>
    <w:rsid w:val="00147168"/>
    <w:rsid w:val="00162E5C"/>
    <w:rsid w:val="00164F91"/>
    <w:rsid w:val="001672E6"/>
    <w:rsid w:val="001726F0"/>
    <w:rsid w:val="00175A42"/>
    <w:rsid w:val="001803B1"/>
    <w:rsid w:val="00183119"/>
    <w:rsid w:val="001843DE"/>
    <w:rsid w:val="00190568"/>
    <w:rsid w:val="0019305F"/>
    <w:rsid w:val="001A529E"/>
    <w:rsid w:val="001A6CF2"/>
    <w:rsid w:val="001A7397"/>
    <w:rsid w:val="001B0C21"/>
    <w:rsid w:val="001B4802"/>
    <w:rsid w:val="001C0E83"/>
    <w:rsid w:val="001C4055"/>
    <w:rsid w:val="001C7CD4"/>
    <w:rsid w:val="001E261F"/>
    <w:rsid w:val="001F3917"/>
    <w:rsid w:val="001F4B38"/>
    <w:rsid w:val="00210601"/>
    <w:rsid w:val="00211F4D"/>
    <w:rsid w:val="002157CB"/>
    <w:rsid w:val="00216555"/>
    <w:rsid w:val="002165DB"/>
    <w:rsid w:val="00221406"/>
    <w:rsid w:val="00222683"/>
    <w:rsid w:val="00236E36"/>
    <w:rsid w:val="00240590"/>
    <w:rsid w:val="0026115F"/>
    <w:rsid w:val="0026257A"/>
    <w:rsid w:val="00265766"/>
    <w:rsid w:val="00266D57"/>
    <w:rsid w:val="00267412"/>
    <w:rsid w:val="00270203"/>
    <w:rsid w:val="00271720"/>
    <w:rsid w:val="00277238"/>
    <w:rsid w:val="0027725E"/>
    <w:rsid w:val="002847FC"/>
    <w:rsid w:val="002904BE"/>
    <w:rsid w:val="002958D7"/>
    <w:rsid w:val="002B33D5"/>
    <w:rsid w:val="002B4DD5"/>
    <w:rsid w:val="002C12B0"/>
    <w:rsid w:val="002D005E"/>
    <w:rsid w:val="002D02E1"/>
    <w:rsid w:val="002D0E50"/>
    <w:rsid w:val="002E2BCD"/>
    <w:rsid w:val="002E6AE2"/>
    <w:rsid w:val="002E7454"/>
    <w:rsid w:val="002F0A51"/>
    <w:rsid w:val="002F34EA"/>
    <w:rsid w:val="002F513C"/>
    <w:rsid w:val="00326F26"/>
    <w:rsid w:val="003304A8"/>
    <w:rsid w:val="00344DAF"/>
    <w:rsid w:val="00345C10"/>
    <w:rsid w:val="00351908"/>
    <w:rsid w:val="00351D2B"/>
    <w:rsid w:val="00371DDC"/>
    <w:rsid w:val="00372545"/>
    <w:rsid w:val="00392649"/>
    <w:rsid w:val="00394E19"/>
    <w:rsid w:val="003A205C"/>
    <w:rsid w:val="003A6711"/>
    <w:rsid w:val="003A699F"/>
    <w:rsid w:val="003B78CE"/>
    <w:rsid w:val="003D1A4F"/>
    <w:rsid w:val="003D2E68"/>
    <w:rsid w:val="003F4320"/>
    <w:rsid w:val="0040159B"/>
    <w:rsid w:val="004070D1"/>
    <w:rsid w:val="0042133D"/>
    <w:rsid w:val="004309CB"/>
    <w:rsid w:val="00435A36"/>
    <w:rsid w:val="00441002"/>
    <w:rsid w:val="00455D22"/>
    <w:rsid w:val="0046287E"/>
    <w:rsid w:val="00474F36"/>
    <w:rsid w:val="0047728E"/>
    <w:rsid w:val="00483572"/>
    <w:rsid w:val="00487C7C"/>
    <w:rsid w:val="00497722"/>
    <w:rsid w:val="004A273D"/>
    <w:rsid w:val="004A425C"/>
    <w:rsid w:val="004B090A"/>
    <w:rsid w:val="004C4919"/>
    <w:rsid w:val="004C5DE6"/>
    <w:rsid w:val="004C6155"/>
    <w:rsid w:val="004D0520"/>
    <w:rsid w:val="004D2768"/>
    <w:rsid w:val="004D521B"/>
    <w:rsid w:val="004D5C44"/>
    <w:rsid w:val="004D61AB"/>
    <w:rsid w:val="004D63A5"/>
    <w:rsid w:val="004D6AF5"/>
    <w:rsid w:val="004E102C"/>
    <w:rsid w:val="004E646A"/>
    <w:rsid w:val="004F74B7"/>
    <w:rsid w:val="0050494C"/>
    <w:rsid w:val="00505848"/>
    <w:rsid w:val="00512753"/>
    <w:rsid w:val="00514795"/>
    <w:rsid w:val="00521BFC"/>
    <w:rsid w:val="00523F2B"/>
    <w:rsid w:val="0052526B"/>
    <w:rsid w:val="005256A0"/>
    <w:rsid w:val="00530E76"/>
    <w:rsid w:val="005317E5"/>
    <w:rsid w:val="0053198E"/>
    <w:rsid w:val="00534864"/>
    <w:rsid w:val="00534917"/>
    <w:rsid w:val="005350A5"/>
    <w:rsid w:val="00536682"/>
    <w:rsid w:val="005374BB"/>
    <w:rsid w:val="0054381B"/>
    <w:rsid w:val="005502C3"/>
    <w:rsid w:val="005517C7"/>
    <w:rsid w:val="00557B4E"/>
    <w:rsid w:val="00560B80"/>
    <w:rsid w:val="00570442"/>
    <w:rsid w:val="00574873"/>
    <w:rsid w:val="00576C21"/>
    <w:rsid w:val="00584903"/>
    <w:rsid w:val="00585968"/>
    <w:rsid w:val="005A090D"/>
    <w:rsid w:val="005A25A0"/>
    <w:rsid w:val="005C6485"/>
    <w:rsid w:val="005C74E7"/>
    <w:rsid w:val="005D2FEE"/>
    <w:rsid w:val="005E0F7C"/>
    <w:rsid w:val="005E21E9"/>
    <w:rsid w:val="005E5BDA"/>
    <w:rsid w:val="005E67C9"/>
    <w:rsid w:val="005F30E5"/>
    <w:rsid w:val="00602955"/>
    <w:rsid w:val="00615915"/>
    <w:rsid w:val="00616356"/>
    <w:rsid w:val="006222A8"/>
    <w:rsid w:val="00622FE1"/>
    <w:rsid w:val="0062330A"/>
    <w:rsid w:val="006308D2"/>
    <w:rsid w:val="00636BAE"/>
    <w:rsid w:val="0064758F"/>
    <w:rsid w:val="00647B77"/>
    <w:rsid w:val="0065094D"/>
    <w:rsid w:val="00650AEA"/>
    <w:rsid w:val="006568EF"/>
    <w:rsid w:val="00657922"/>
    <w:rsid w:val="0066020E"/>
    <w:rsid w:val="00663042"/>
    <w:rsid w:val="00670CDE"/>
    <w:rsid w:val="00671C08"/>
    <w:rsid w:val="00671ED7"/>
    <w:rsid w:val="00672E7D"/>
    <w:rsid w:val="00680391"/>
    <w:rsid w:val="006817D2"/>
    <w:rsid w:val="006821D1"/>
    <w:rsid w:val="00682A09"/>
    <w:rsid w:val="00693614"/>
    <w:rsid w:val="0069600E"/>
    <w:rsid w:val="0069635D"/>
    <w:rsid w:val="006A5646"/>
    <w:rsid w:val="006B28DB"/>
    <w:rsid w:val="006B3EDF"/>
    <w:rsid w:val="006B5B2A"/>
    <w:rsid w:val="006B7BAF"/>
    <w:rsid w:val="006C171A"/>
    <w:rsid w:val="006C5123"/>
    <w:rsid w:val="006C72AA"/>
    <w:rsid w:val="006D078F"/>
    <w:rsid w:val="006E4C87"/>
    <w:rsid w:val="006E5A2B"/>
    <w:rsid w:val="006F1D6C"/>
    <w:rsid w:val="006F2713"/>
    <w:rsid w:val="00701EE8"/>
    <w:rsid w:val="00706B98"/>
    <w:rsid w:val="0070799C"/>
    <w:rsid w:val="00711102"/>
    <w:rsid w:val="00716F7D"/>
    <w:rsid w:val="00724752"/>
    <w:rsid w:val="007275F2"/>
    <w:rsid w:val="00734B38"/>
    <w:rsid w:val="0073756B"/>
    <w:rsid w:val="00741246"/>
    <w:rsid w:val="0075134E"/>
    <w:rsid w:val="00760B39"/>
    <w:rsid w:val="007646FD"/>
    <w:rsid w:val="00770378"/>
    <w:rsid w:val="00771F93"/>
    <w:rsid w:val="0077576E"/>
    <w:rsid w:val="00777DC4"/>
    <w:rsid w:val="007800A5"/>
    <w:rsid w:val="00782C41"/>
    <w:rsid w:val="00783B7A"/>
    <w:rsid w:val="00791096"/>
    <w:rsid w:val="007A52D7"/>
    <w:rsid w:val="007B1ED9"/>
    <w:rsid w:val="007B62F4"/>
    <w:rsid w:val="007E02A7"/>
    <w:rsid w:val="007E1F32"/>
    <w:rsid w:val="007E323D"/>
    <w:rsid w:val="007F354C"/>
    <w:rsid w:val="007F59B8"/>
    <w:rsid w:val="00810A01"/>
    <w:rsid w:val="00813957"/>
    <w:rsid w:val="008212C6"/>
    <w:rsid w:val="008213FD"/>
    <w:rsid w:val="0082489E"/>
    <w:rsid w:val="00825FD9"/>
    <w:rsid w:val="0083669D"/>
    <w:rsid w:val="00844D66"/>
    <w:rsid w:val="00847A61"/>
    <w:rsid w:val="00852AE4"/>
    <w:rsid w:val="008532F5"/>
    <w:rsid w:val="00856081"/>
    <w:rsid w:val="00861964"/>
    <w:rsid w:val="0086645D"/>
    <w:rsid w:val="008703CE"/>
    <w:rsid w:val="0088405B"/>
    <w:rsid w:val="00895013"/>
    <w:rsid w:val="0089783B"/>
    <w:rsid w:val="008B505D"/>
    <w:rsid w:val="008B6EB4"/>
    <w:rsid w:val="008C78A6"/>
    <w:rsid w:val="00903337"/>
    <w:rsid w:val="00903CBA"/>
    <w:rsid w:val="009054C2"/>
    <w:rsid w:val="00911303"/>
    <w:rsid w:val="009173C7"/>
    <w:rsid w:val="00924EAF"/>
    <w:rsid w:val="009255E5"/>
    <w:rsid w:val="00931CDD"/>
    <w:rsid w:val="0093573C"/>
    <w:rsid w:val="0093603A"/>
    <w:rsid w:val="009370BA"/>
    <w:rsid w:val="009374F5"/>
    <w:rsid w:val="00947C90"/>
    <w:rsid w:val="00961219"/>
    <w:rsid w:val="00977D25"/>
    <w:rsid w:val="009833E6"/>
    <w:rsid w:val="00986647"/>
    <w:rsid w:val="00992510"/>
    <w:rsid w:val="00994BA9"/>
    <w:rsid w:val="009A4D4E"/>
    <w:rsid w:val="009A6218"/>
    <w:rsid w:val="009B0525"/>
    <w:rsid w:val="009B3E14"/>
    <w:rsid w:val="009C0108"/>
    <w:rsid w:val="009C43A7"/>
    <w:rsid w:val="009C50A2"/>
    <w:rsid w:val="009C7781"/>
    <w:rsid w:val="009E2BAD"/>
    <w:rsid w:val="009E50D2"/>
    <w:rsid w:val="009F60BF"/>
    <w:rsid w:val="00A01E4A"/>
    <w:rsid w:val="00A05D72"/>
    <w:rsid w:val="00A114CE"/>
    <w:rsid w:val="00A25F3A"/>
    <w:rsid w:val="00A36B9D"/>
    <w:rsid w:val="00A379BE"/>
    <w:rsid w:val="00A45031"/>
    <w:rsid w:val="00A65CD6"/>
    <w:rsid w:val="00A679A1"/>
    <w:rsid w:val="00A709A9"/>
    <w:rsid w:val="00A80CC0"/>
    <w:rsid w:val="00A814BC"/>
    <w:rsid w:val="00A87A61"/>
    <w:rsid w:val="00A917D8"/>
    <w:rsid w:val="00AA2917"/>
    <w:rsid w:val="00AA3448"/>
    <w:rsid w:val="00AA5357"/>
    <w:rsid w:val="00AA7238"/>
    <w:rsid w:val="00AC29C3"/>
    <w:rsid w:val="00AC334B"/>
    <w:rsid w:val="00AC3F7A"/>
    <w:rsid w:val="00AC7A13"/>
    <w:rsid w:val="00AD02D7"/>
    <w:rsid w:val="00AD2B04"/>
    <w:rsid w:val="00AE346A"/>
    <w:rsid w:val="00AE3A43"/>
    <w:rsid w:val="00AE40EC"/>
    <w:rsid w:val="00AE5B1E"/>
    <w:rsid w:val="00B0237C"/>
    <w:rsid w:val="00B02556"/>
    <w:rsid w:val="00B137FE"/>
    <w:rsid w:val="00B14D68"/>
    <w:rsid w:val="00B2213B"/>
    <w:rsid w:val="00B22B7A"/>
    <w:rsid w:val="00B267D0"/>
    <w:rsid w:val="00B27550"/>
    <w:rsid w:val="00B321BB"/>
    <w:rsid w:val="00B43766"/>
    <w:rsid w:val="00B514E7"/>
    <w:rsid w:val="00B627E1"/>
    <w:rsid w:val="00B66FD6"/>
    <w:rsid w:val="00B67A50"/>
    <w:rsid w:val="00B67D55"/>
    <w:rsid w:val="00B721C6"/>
    <w:rsid w:val="00B738B6"/>
    <w:rsid w:val="00B832CA"/>
    <w:rsid w:val="00B86815"/>
    <w:rsid w:val="00B9037B"/>
    <w:rsid w:val="00B91B71"/>
    <w:rsid w:val="00B94C44"/>
    <w:rsid w:val="00BC0A7F"/>
    <w:rsid w:val="00BC4480"/>
    <w:rsid w:val="00BD25DB"/>
    <w:rsid w:val="00BD4AB3"/>
    <w:rsid w:val="00BD53A2"/>
    <w:rsid w:val="00BD6134"/>
    <w:rsid w:val="00BE6CC3"/>
    <w:rsid w:val="00BF35FE"/>
    <w:rsid w:val="00BF5048"/>
    <w:rsid w:val="00C16C12"/>
    <w:rsid w:val="00C22820"/>
    <w:rsid w:val="00C26086"/>
    <w:rsid w:val="00C26371"/>
    <w:rsid w:val="00C33897"/>
    <w:rsid w:val="00C3517B"/>
    <w:rsid w:val="00C36D23"/>
    <w:rsid w:val="00C57E0F"/>
    <w:rsid w:val="00C720A4"/>
    <w:rsid w:val="00C8029C"/>
    <w:rsid w:val="00CA4FA7"/>
    <w:rsid w:val="00CA598E"/>
    <w:rsid w:val="00CA727F"/>
    <w:rsid w:val="00CB4F17"/>
    <w:rsid w:val="00CB79AF"/>
    <w:rsid w:val="00CC6684"/>
    <w:rsid w:val="00CD3E07"/>
    <w:rsid w:val="00CF4C3C"/>
    <w:rsid w:val="00CF6A07"/>
    <w:rsid w:val="00D0201D"/>
    <w:rsid w:val="00D11057"/>
    <w:rsid w:val="00D35478"/>
    <w:rsid w:val="00D35C16"/>
    <w:rsid w:val="00D41688"/>
    <w:rsid w:val="00D50123"/>
    <w:rsid w:val="00D569C7"/>
    <w:rsid w:val="00D56E55"/>
    <w:rsid w:val="00D61E52"/>
    <w:rsid w:val="00D704B6"/>
    <w:rsid w:val="00D71156"/>
    <w:rsid w:val="00D71742"/>
    <w:rsid w:val="00D860A4"/>
    <w:rsid w:val="00D90664"/>
    <w:rsid w:val="00D97D33"/>
    <w:rsid w:val="00DB0234"/>
    <w:rsid w:val="00DB6205"/>
    <w:rsid w:val="00DC5409"/>
    <w:rsid w:val="00DE4160"/>
    <w:rsid w:val="00DF35A3"/>
    <w:rsid w:val="00DF6C9A"/>
    <w:rsid w:val="00E11A9C"/>
    <w:rsid w:val="00E13AD7"/>
    <w:rsid w:val="00E17615"/>
    <w:rsid w:val="00E2192F"/>
    <w:rsid w:val="00E4128D"/>
    <w:rsid w:val="00E47BFA"/>
    <w:rsid w:val="00E52E64"/>
    <w:rsid w:val="00E55607"/>
    <w:rsid w:val="00E5697F"/>
    <w:rsid w:val="00E62DFB"/>
    <w:rsid w:val="00E6394B"/>
    <w:rsid w:val="00E77A2F"/>
    <w:rsid w:val="00E80511"/>
    <w:rsid w:val="00E81F37"/>
    <w:rsid w:val="00E83D0E"/>
    <w:rsid w:val="00E83F84"/>
    <w:rsid w:val="00E87D9D"/>
    <w:rsid w:val="00E90C20"/>
    <w:rsid w:val="00E94F66"/>
    <w:rsid w:val="00E950BD"/>
    <w:rsid w:val="00EA00F6"/>
    <w:rsid w:val="00EB76ED"/>
    <w:rsid w:val="00EC5061"/>
    <w:rsid w:val="00EF10E0"/>
    <w:rsid w:val="00F15339"/>
    <w:rsid w:val="00F21B1E"/>
    <w:rsid w:val="00F233B6"/>
    <w:rsid w:val="00F239B8"/>
    <w:rsid w:val="00F30D95"/>
    <w:rsid w:val="00F41F63"/>
    <w:rsid w:val="00F446F4"/>
    <w:rsid w:val="00F50E2F"/>
    <w:rsid w:val="00F53130"/>
    <w:rsid w:val="00F54D96"/>
    <w:rsid w:val="00F71059"/>
    <w:rsid w:val="00F75252"/>
    <w:rsid w:val="00F8368A"/>
    <w:rsid w:val="00F840A3"/>
    <w:rsid w:val="00F8485C"/>
    <w:rsid w:val="00FA55D8"/>
    <w:rsid w:val="00FB77C6"/>
    <w:rsid w:val="00FC7DF8"/>
    <w:rsid w:val="00FD2706"/>
    <w:rsid w:val="00FD30A8"/>
    <w:rsid w:val="00FD3C7F"/>
    <w:rsid w:val="00FD7D5B"/>
    <w:rsid w:val="00FE70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A5"/>
    <w:pPr>
      <w:bidi/>
      <w:spacing w:line="360" w:lineRule="auto"/>
      <w:ind w:firstLine="284"/>
      <w:jc w:val="both"/>
    </w:pPr>
    <w:rPr>
      <w:rFonts w:cs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175A42"/>
    <w:pPr>
      <w:spacing w:after="0" w:line="240" w:lineRule="auto"/>
    </w:pPr>
    <w:rPr>
      <w:rFonts w:ascii="Traditional Arabic" w:hAnsi="Traditional Arabic" w:cs="Traditional Arabic"/>
      <w:sz w:val="20"/>
      <w:szCs w:val="20"/>
    </w:rPr>
  </w:style>
  <w:style w:type="character" w:customStyle="1" w:styleId="Char">
    <w:name w:val="نص حاشية سفلية Char"/>
    <w:basedOn w:val="a0"/>
    <w:link w:val="a4"/>
    <w:uiPriority w:val="99"/>
    <w:semiHidden/>
    <w:rsid w:val="00175A42"/>
    <w:rPr>
      <w:rFonts w:ascii="Traditional Arabic" w:hAnsi="Traditional Arabic" w:cs="Traditional Arabic"/>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72195362">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999574015">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188911696">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44804460">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885798952">
      <w:bodyDiv w:val="1"/>
      <w:marLeft w:val="0"/>
      <w:marRight w:val="0"/>
      <w:marTop w:val="0"/>
      <w:marBottom w:val="0"/>
      <w:divBdr>
        <w:top w:val="none" w:sz="0" w:space="0" w:color="auto"/>
        <w:left w:val="none" w:sz="0" w:space="0" w:color="auto"/>
        <w:bottom w:val="none" w:sz="0" w:space="0" w:color="auto"/>
        <w:right w:val="none" w:sz="0" w:space="0" w:color="auto"/>
      </w:divBdr>
    </w:div>
    <w:div w:id="189014923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39118017">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995</TotalTime>
  <Pages>3</Pages>
  <Words>1032</Words>
  <Characters>5886</Characters>
  <Application>Microsoft Office Word</Application>
  <DocSecurity>0</DocSecurity>
  <Lines>49</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cp:keywords/>
  <dc:description/>
  <cp:lastModifiedBy>السيد محسن الحائري</cp:lastModifiedBy>
  <cp:revision>24</cp:revision>
  <cp:lastPrinted>2023-01-08T08:05:00Z</cp:lastPrinted>
  <dcterms:created xsi:type="dcterms:W3CDTF">2023-01-09T06:10:00Z</dcterms:created>
  <dcterms:modified xsi:type="dcterms:W3CDTF">2023-01-10T08:15:00Z</dcterms:modified>
  <dc:language>العربية</dc:language>
</cp:coreProperties>
</file>