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  <w:rPr>
          <w:rFonts w:hint="cs"/>
        </w:rPr>
      </w:pPr>
    </w:p>
    <w:p w14:paraId="70D65E8A" w14:textId="69C257A1" w:rsidR="00E83D0E" w:rsidRDefault="00E83D0E" w:rsidP="00682A09">
      <w:pPr>
        <w:ind w:firstLine="0"/>
        <w:jc w:val="center"/>
        <w:rPr>
          <w:rtl/>
        </w:rPr>
      </w:pPr>
      <w:r w:rsidRPr="00E83D0E">
        <w:rPr>
          <w:rtl/>
        </w:rPr>
        <w:t>بسم الله الرحمن الرحيم</w:t>
      </w:r>
    </w:p>
    <w:p w14:paraId="4F60224A" w14:textId="7978B3E8" w:rsidR="003D2E68" w:rsidRDefault="003D2E68" w:rsidP="003D2E68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19C5705B" w14:textId="5D9CC215" w:rsidR="00DF0369" w:rsidRPr="00DF0369" w:rsidRDefault="00DF0369" w:rsidP="00DF0369">
      <w:r w:rsidRPr="00DF0369">
        <w:rPr>
          <w:rtl/>
        </w:rPr>
        <w:t xml:space="preserve">كانت الصورة الثالثة من الصور التي ذكرها أستاذنا الشهيد رضوان الله تعالى </w:t>
      </w:r>
      <w:r>
        <w:rPr>
          <w:rFonts w:hint="cs"/>
          <w:rtl/>
        </w:rPr>
        <w:t xml:space="preserve">عليه </w:t>
      </w:r>
      <w:r w:rsidRPr="00DF0369">
        <w:rPr>
          <w:rtl/>
        </w:rPr>
        <w:t>لجريان الأصل المؤمّن في أحد الطرفين دون الآخر عبارة</w:t>
      </w:r>
      <w:r>
        <w:rPr>
          <w:rFonts w:hint="cs"/>
          <w:rtl/>
        </w:rPr>
        <w:t>ً</w:t>
      </w:r>
      <w:r w:rsidRPr="00DF0369">
        <w:rPr>
          <w:rtl/>
        </w:rPr>
        <w:t xml:space="preserve"> عمّا إذا كان هناك أصلان مؤمّنان في طرفي العلم الإجماليّ وكان لأحدهما أصل مؤمّن طولي</w:t>
      </w:r>
      <w:r>
        <w:rPr>
          <w:rFonts w:hint="cs"/>
          <w:rtl/>
        </w:rPr>
        <w:t>ّ،</w:t>
      </w:r>
      <w:r w:rsidRPr="00DF0369">
        <w:rPr>
          <w:rtl/>
        </w:rPr>
        <w:t xml:space="preserve"> وذينك الأصلين المؤمّنين يتعارضان ويتساقطان وبعدئذ</w:t>
      </w:r>
      <w:r>
        <w:rPr>
          <w:rFonts w:hint="cs"/>
          <w:rtl/>
        </w:rPr>
        <w:t>ٍ</w:t>
      </w:r>
      <w:r w:rsidRPr="00DF0369">
        <w:rPr>
          <w:rtl/>
        </w:rPr>
        <w:t xml:space="preserve"> تصل النوبة إلى </w:t>
      </w:r>
      <w:r>
        <w:rPr>
          <w:rFonts w:hint="cs"/>
          <w:rtl/>
        </w:rPr>
        <w:t>ال</w:t>
      </w:r>
      <w:r w:rsidRPr="00DF0369">
        <w:rPr>
          <w:rtl/>
        </w:rPr>
        <w:t xml:space="preserve">أصل </w:t>
      </w:r>
      <w:r>
        <w:rPr>
          <w:rFonts w:hint="cs"/>
          <w:rtl/>
        </w:rPr>
        <w:t>ال</w:t>
      </w:r>
      <w:r w:rsidRPr="00DF0369">
        <w:rPr>
          <w:rtl/>
        </w:rPr>
        <w:t xml:space="preserve">مؤمّن </w:t>
      </w:r>
      <w:r>
        <w:rPr>
          <w:rFonts w:hint="cs"/>
          <w:rtl/>
        </w:rPr>
        <w:t>ال</w:t>
      </w:r>
      <w:r w:rsidRPr="00DF0369">
        <w:rPr>
          <w:rtl/>
        </w:rPr>
        <w:t>طوليّ</w:t>
      </w:r>
      <w:r>
        <w:rPr>
          <w:rFonts w:hint="cs"/>
          <w:rtl/>
        </w:rPr>
        <w:t xml:space="preserve"> الذي</w:t>
      </w:r>
      <w:r w:rsidRPr="00DF0369">
        <w:rPr>
          <w:rtl/>
        </w:rPr>
        <w:t xml:space="preserve"> يختصّ بأحد الطرفين دون الآخر</w:t>
      </w:r>
      <w:r>
        <w:rPr>
          <w:rFonts w:hint="cs"/>
          <w:rtl/>
        </w:rPr>
        <w:t>،</w:t>
      </w:r>
      <w:r w:rsidRPr="00DF0369">
        <w:rPr>
          <w:rtl/>
        </w:rPr>
        <w:t xml:space="preserve"> فبناء</w:t>
      </w:r>
      <w:r>
        <w:rPr>
          <w:rFonts w:hint="cs"/>
          <w:rtl/>
        </w:rPr>
        <w:t>ً</w:t>
      </w:r>
      <w:r w:rsidRPr="00DF0369">
        <w:rPr>
          <w:rtl/>
        </w:rPr>
        <w:t xml:space="preserve"> على القول بالاقتضاء يجري هذا الأصل العمليّ فيه بدون معارض وتسقط منجّزيّة العلم الإجماليّ لوجوب الموافقة القطعيّة.</w:t>
      </w:r>
    </w:p>
    <w:p w14:paraId="46740F60" w14:textId="716CBBAB" w:rsidR="00DF0369" w:rsidRPr="00DF0369" w:rsidRDefault="00DF0369" w:rsidP="00DF0369">
      <w:pPr>
        <w:rPr>
          <w:rtl/>
        </w:rPr>
      </w:pPr>
      <w:r w:rsidRPr="00DF0369">
        <w:rPr>
          <w:rtl/>
        </w:rPr>
        <w:t>ولكنّ جملة من الأصحاب قالوا بعدم إمكان العمل بهذا الأصل الطوليّ بعد سقوط الأصلين العرضيّين في الطرفين إمّا إطلاقا</w:t>
      </w:r>
      <w:r w:rsidR="00CA3E8A">
        <w:rPr>
          <w:rFonts w:hint="cs"/>
          <w:rtl/>
        </w:rPr>
        <w:t>ً</w:t>
      </w:r>
      <w:r w:rsidRPr="00DF0369">
        <w:rPr>
          <w:rtl/>
        </w:rPr>
        <w:t xml:space="preserve"> أو في بعض الحالات.</w:t>
      </w:r>
    </w:p>
    <w:p w14:paraId="6D7EB82E" w14:textId="13953459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وكان المحقّق النائينيّ </w:t>
      </w:r>
      <w:r w:rsidR="00CA3E8A">
        <w:rPr>
          <w:rFonts w:hint="cs"/>
          <w:rtl/>
        </w:rPr>
        <w:t xml:space="preserve">رحمه الله </w:t>
      </w:r>
      <w:r w:rsidRPr="00DF0369">
        <w:rPr>
          <w:rtl/>
        </w:rPr>
        <w:t>من الذين قالوا ب</w:t>
      </w:r>
      <w:r w:rsidR="00CA3E8A">
        <w:rPr>
          <w:rFonts w:hint="cs"/>
          <w:rtl/>
        </w:rPr>
        <w:t>العدم</w:t>
      </w:r>
      <w:r w:rsidRPr="00DF0369">
        <w:rPr>
          <w:rtl/>
        </w:rPr>
        <w:t xml:space="preserve"> إطلاقا</w:t>
      </w:r>
      <w:r w:rsidR="00CA3E8A">
        <w:rPr>
          <w:rFonts w:hint="cs"/>
          <w:rtl/>
        </w:rPr>
        <w:t>ً</w:t>
      </w:r>
      <w:r w:rsidRPr="00DF0369">
        <w:rPr>
          <w:rtl/>
        </w:rPr>
        <w:t xml:space="preserve"> وذلك </w:t>
      </w:r>
      <w:r w:rsidR="00CA3E8A">
        <w:rPr>
          <w:rFonts w:hint="cs"/>
          <w:rtl/>
        </w:rPr>
        <w:t xml:space="preserve">كان </w:t>
      </w:r>
      <w:r w:rsidRPr="00DF0369">
        <w:rPr>
          <w:rtl/>
        </w:rPr>
        <w:t xml:space="preserve">بالوجهين </w:t>
      </w:r>
      <w:r w:rsidR="00CA3E8A">
        <w:rPr>
          <w:rFonts w:hint="cs"/>
          <w:rtl/>
        </w:rPr>
        <w:t xml:space="preserve">اللذين </w:t>
      </w:r>
      <w:r w:rsidRPr="00DF0369">
        <w:rPr>
          <w:rtl/>
        </w:rPr>
        <w:t>ذكرهما وردّ عليهما أستاذنا الشهيد رضوان الله تعالى عليه.</w:t>
      </w:r>
    </w:p>
    <w:p w14:paraId="316CA28A" w14:textId="7971E3B7" w:rsidR="00DF0369" w:rsidRPr="00DF0369" w:rsidRDefault="00DF0369" w:rsidP="00DF0369">
      <w:pPr>
        <w:rPr>
          <w:rtl/>
        </w:rPr>
      </w:pPr>
      <w:r w:rsidRPr="00DF0369">
        <w:rPr>
          <w:rtl/>
        </w:rPr>
        <w:t>والآن نبحث عن القول القائل بجريانه في بعض الحالات فقط وهو السيّد الخوئيّ رضوان الله تعالى عليه</w:t>
      </w:r>
      <w:r w:rsidR="009F47C2">
        <w:rPr>
          <w:rFonts w:hint="cs"/>
          <w:rtl/>
        </w:rPr>
        <w:t>،</w:t>
      </w:r>
      <w:r w:rsidRPr="00DF0369">
        <w:rPr>
          <w:rtl/>
        </w:rPr>
        <w:t xml:space="preserve"> فإنّه فصّل بين حالة ما إذا كان الأصلان المؤمّنان الجاريان في طرفي العلم الإجماليّ في عرض واحد من سنخ واحد ودليلهما مشترك بأن يكون كلاهما أصالة الطهارة </w:t>
      </w:r>
      <w:r w:rsidR="009F47C2">
        <w:rPr>
          <w:rFonts w:hint="cs"/>
          <w:rtl/>
        </w:rPr>
        <w:t xml:space="preserve">مثلاً، </w:t>
      </w:r>
      <w:r w:rsidRPr="00DF0369">
        <w:rPr>
          <w:rtl/>
        </w:rPr>
        <w:t>وبين ما إذا كان الأصلان المؤمّنان الجاريان في الطرفين من سنخين وليس دليلهما مشتركا</w:t>
      </w:r>
      <w:r w:rsidR="009F47C2">
        <w:rPr>
          <w:rFonts w:hint="cs"/>
          <w:rtl/>
        </w:rPr>
        <w:t>ً</w:t>
      </w:r>
      <w:r w:rsidRPr="00DF0369">
        <w:rPr>
          <w:rtl/>
        </w:rPr>
        <w:t>.</w:t>
      </w:r>
    </w:p>
    <w:p w14:paraId="2FA45C47" w14:textId="5D091D17" w:rsidR="00DF0369" w:rsidRPr="00DF0369" w:rsidRDefault="00A40D3E" w:rsidP="00DF0369">
      <w:pPr>
        <w:rPr>
          <w:rtl/>
        </w:rPr>
      </w:pPr>
      <w:r>
        <w:rPr>
          <w:rFonts w:hint="cs"/>
          <w:rtl/>
        </w:rPr>
        <w:t xml:space="preserve">ثمّ </w:t>
      </w:r>
      <w:r w:rsidR="00DF0369" w:rsidRPr="00DF0369">
        <w:rPr>
          <w:rtl/>
        </w:rPr>
        <w:t xml:space="preserve">قال بتساقط الأصلين وإمكان التمسّك بالأصل المؤمّن الطوليّ في الحالة الأولى، وبعدم </w:t>
      </w:r>
      <w:r>
        <w:rPr>
          <w:rFonts w:hint="cs"/>
          <w:rtl/>
        </w:rPr>
        <w:t xml:space="preserve">إمكان </w:t>
      </w:r>
      <w:r w:rsidR="00DF0369" w:rsidRPr="00DF0369">
        <w:rPr>
          <w:rtl/>
        </w:rPr>
        <w:t>التمسّك بالأصل الطوليّ في الثانية</w:t>
      </w:r>
      <w:r>
        <w:rPr>
          <w:rFonts w:hint="cs"/>
          <w:rtl/>
        </w:rPr>
        <w:t>؛</w:t>
      </w:r>
      <w:r w:rsidR="00DF0369" w:rsidRPr="00DF0369">
        <w:rPr>
          <w:rtl/>
        </w:rPr>
        <w:t xml:space="preserve"> </w:t>
      </w:r>
      <w:r>
        <w:rPr>
          <w:rFonts w:hint="cs"/>
          <w:rtl/>
        </w:rPr>
        <w:t>ف</w:t>
      </w:r>
      <w:r w:rsidR="00DF0369" w:rsidRPr="00DF0369">
        <w:rPr>
          <w:rtl/>
        </w:rPr>
        <w:t>إنّه يتساقط مع الأصلين الآخرين ويكون التساقط ثلاثيّا</w:t>
      </w:r>
      <w:r>
        <w:rPr>
          <w:rFonts w:hint="cs"/>
          <w:rtl/>
        </w:rPr>
        <w:t>ً</w:t>
      </w:r>
      <w:r w:rsidR="00DF0369" w:rsidRPr="00DF0369">
        <w:rPr>
          <w:rtl/>
        </w:rPr>
        <w:t>.</w:t>
      </w:r>
    </w:p>
    <w:p w14:paraId="5C1E580F" w14:textId="77777777" w:rsidR="00EB0ADD" w:rsidRDefault="00DF0369" w:rsidP="00DF0369">
      <w:pPr>
        <w:rPr>
          <w:rtl/>
        </w:rPr>
      </w:pPr>
      <w:r w:rsidRPr="00DF0369">
        <w:rPr>
          <w:rtl/>
        </w:rPr>
        <w:t xml:space="preserve">والظاهر أنّ السبب الذي جعله يفرّق بين الحالتين – كما نبّه عليه أستاذنا الشهيد </w:t>
      </w:r>
      <w:r w:rsidR="00CF410F">
        <w:rPr>
          <w:rFonts w:hint="cs"/>
          <w:rtl/>
        </w:rPr>
        <w:t xml:space="preserve">رضوان الله تعالى عليه </w:t>
      </w:r>
      <w:r w:rsidRPr="00DF0369">
        <w:rPr>
          <w:rtl/>
        </w:rPr>
        <w:t>– هو أنّه يرى في الحالة الأولى أنّ الأصلين يسقطان بإجمال دليلهما لا بالتساقط بأن يراد إجرائهما في الطرفين وحيث يسبّب إجراؤهما معا</w:t>
      </w:r>
      <w:r w:rsidR="0081253A">
        <w:rPr>
          <w:rFonts w:hint="cs"/>
          <w:rtl/>
        </w:rPr>
        <w:t>ً</w:t>
      </w:r>
      <w:r w:rsidRPr="00DF0369">
        <w:rPr>
          <w:rtl/>
        </w:rPr>
        <w:t xml:space="preserve"> المخالفة</w:t>
      </w:r>
      <w:r w:rsidR="0081253A">
        <w:rPr>
          <w:rFonts w:hint="cs"/>
          <w:rtl/>
        </w:rPr>
        <w:t>َ</w:t>
      </w:r>
      <w:r w:rsidRPr="00DF0369">
        <w:rPr>
          <w:rtl/>
        </w:rPr>
        <w:t xml:space="preserve"> القطعيّة يتساقطان. بل دليلهما يبتل</w:t>
      </w:r>
      <w:r w:rsidR="0081253A">
        <w:rPr>
          <w:rFonts w:hint="cs"/>
          <w:rtl/>
        </w:rPr>
        <w:t>ى</w:t>
      </w:r>
      <w:r w:rsidRPr="00DF0369">
        <w:rPr>
          <w:rtl/>
        </w:rPr>
        <w:t xml:space="preserve"> بالإجمال؛ لما قلنا سابقا</w:t>
      </w:r>
      <w:r w:rsidR="0081253A">
        <w:rPr>
          <w:rFonts w:hint="cs"/>
          <w:rtl/>
        </w:rPr>
        <w:t>ً</w:t>
      </w:r>
      <w:r w:rsidRPr="00DF0369">
        <w:rPr>
          <w:rtl/>
        </w:rPr>
        <w:t xml:space="preserve"> من أنّ هناك قرينة عقليّة أو عقلائيّة كالمتّصلة </w:t>
      </w:r>
      <w:r w:rsidR="0081253A">
        <w:rPr>
          <w:rtl/>
        </w:rPr>
        <w:t>–</w:t>
      </w:r>
      <w:r w:rsidRPr="00DF0369">
        <w:rPr>
          <w:rtl/>
        </w:rPr>
        <w:t xml:space="preserve"> بناء</w:t>
      </w:r>
      <w:r w:rsidR="0081253A">
        <w:rPr>
          <w:rFonts w:hint="cs"/>
          <w:rtl/>
        </w:rPr>
        <w:t>ً</w:t>
      </w:r>
      <w:r w:rsidRPr="00DF0369">
        <w:rPr>
          <w:rtl/>
        </w:rPr>
        <w:t xml:space="preserve"> على أنّها قرينة كالمتّصلة</w:t>
      </w:r>
      <w:r w:rsidR="0081253A">
        <w:rPr>
          <w:rFonts w:hint="cs"/>
          <w:rtl/>
        </w:rPr>
        <w:t xml:space="preserve"> </w:t>
      </w:r>
      <w:r w:rsidR="0081253A">
        <w:rPr>
          <w:rtl/>
        </w:rPr>
        <w:t>–</w:t>
      </w:r>
      <w:r w:rsidRPr="00DF0369">
        <w:rPr>
          <w:rtl/>
        </w:rPr>
        <w:t xml:space="preserve"> وقلنا ربما قد يناقش أحد في كونها بمنزلة المتّصلة أو المنفصلة، ولكن يبدو أنّ السيّد الخوئيّ</w:t>
      </w:r>
      <w:r w:rsidR="00760531">
        <w:rPr>
          <w:rFonts w:hint="cs"/>
          <w:rtl/>
        </w:rPr>
        <w:t xml:space="preserve"> رحمه الله</w:t>
      </w:r>
      <w:r w:rsidRPr="00DF0369">
        <w:rPr>
          <w:rtl/>
        </w:rPr>
        <w:t xml:space="preserve"> بانٍ على أنّ تلك القرينة </w:t>
      </w:r>
      <w:r w:rsidR="00D63250">
        <w:rPr>
          <w:rtl/>
        </w:rPr>
        <w:t>–</w:t>
      </w:r>
      <w:r w:rsidR="00D63250">
        <w:rPr>
          <w:rFonts w:hint="cs"/>
          <w:rtl/>
        </w:rPr>
        <w:t xml:space="preserve"> </w:t>
      </w:r>
      <w:r w:rsidRPr="00DF0369">
        <w:rPr>
          <w:rtl/>
        </w:rPr>
        <w:t xml:space="preserve">التي </w:t>
      </w:r>
      <w:r w:rsidR="00822C8C">
        <w:rPr>
          <w:rFonts w:hint="cs"/>
          <w:rtl/>
        </w:rPr>
        <w:t xml:space="preserve">على مبنى </w:t>
      </w:r>
      <w:r w:rsidRPr="00DF0369">
        <w:rPr>
          <w:rtl/>
        </w:rPr>
        <w:t>الأصحاب عقليّة</w:t>
      </w:r>
      <w:r w:rsidR="001A5C2E">
        <w:rPr>
          <w:rFonts w:hint="cs"/>
          <w:rtl/>
        </w:rPr>
        <w:t>ٌ</w:t>
      </w:r>
      <w:r w:rsidRPr="00DF0369">
        <w:rPr>
          <w:rtl/>
        </w:rPr>
        <w:t xml:space="preserve"> </w:t>
      </w:r>
      <w:r w:rsidR="001A5C2E">
        <w:rPr>
          <w:rFonts w:hint="cs"/>
          <w:rtl/>
        </w:rPr>
        <w:t>و</w:t>
      </w:r>
      <w:r w:rsidR="00822C8C">
        <w:rPr>
          <w:rFonts w:hint="cs"/>
          <w:rtl/>
        </w:rPr>
        <w:t xml:space="preserve">على مبنى </w:t>
      </w:r>
      <w:r w:rsidRPr="00DF0369">
        <w:rPr>
          <w:rtl/>
        </w:rPr>
        <w:t>أستاذنا الشهيد</w:t>
      </w:r>
      <w:r w:rsidR="00822C8C">
        <w:rPr>
          <w:rFonts w:hint="cs"/>
          <w:rtl/>
        </w:rPr>
        <w:t xml:space="preserve"> </w:t>
      </w:r>
      <w:r w:rsidRPr="00DF0369">
        <w:rPr>
          <w:rtl/>
        </w:rPr>
        <w:t>عقلائيّة</w:t>
      </w:r>
      <w:r w:rsidR="001A5C2E">
        <w:rPr>
          <w:rFonts w:hint="cs"/>
          <w:rtl/>
        </w:rPr>
        <w:t>ٌ</w:t>
      </w:r>
      <w:r w:rsidR="00822C8C">
        <w:rPr>
          <w:rFonts w:hint="cs"/>
          <w:rtl/>
        </w:rPr>
        <w:t xml:space="preserve"> </w:t>
      </w:r>
      <w:r w:rsidR="00822C8C">
        <w:rPr>
          <w:rtl/>
        </w:rPr>
        <w:t>–</w:t>
      </w:r>
      <w:r w:rsidRPr="00DF0369">
        <w:rPr>
          <w:rtl/>
        </w:rPr>
        <w:t xml:space="preserve"> بمنزلة قرينة</w:t>
      </w:r>
      <w:r w:rsidR="00EB0ADD">
        <w:rPr>
          <w:rFonts w:hint="cs"/>
          <w:rtl/>
        </w:rPr>
        <w:t>ٍ</w:t>
      </w:r>
      <w:r w:rsidRPr="00DF0369">
        <w:rPr>
          <w:rtl/>
        </w:rPr>
        <w:t xml:space="preserve"> متّصلة</w:t>
      </w:r>
      <w:r w:rsidR="00EB0ADD">
        <w:rPr>
          <w:rFonts w:hint="cs"/>
          <w:rtl/>
        </w:rPr>
        <w:t>ٍ تدلّ</w:t>
      </w:r>
      <w:r w:rsidRPr="00DF0369">
        <w:rPr>
          <w:rtl/>
        </w:rPr>
        <w:t xml:space="preserve"> على عدم إمكان جريان الأصل المؤمّن في كلا طرفي العلم الإجماليّ، </w:t>
      </w:r>
      <w:r w:rsidR="001A5C2E">
        <w:rPr>
          <w:rFonts w:hint="cs"/>
          <w:rtl/>
        </w:rPr>
        <w:t>ف</w:t>
      </w:r>
      <w:r w:rsidRPr="00DF0369">
        <w:rPr>
          <w:rtl/>
        </w:rPr>
        <w:t>توجب الإجمال في دليل الأصل المؤمّن الذي يريد أن يجري في كلا الطرفين.</w:t>
      </w:r>
    </w:p>
    <w:p w14:paraId="2280DE0E" w14:textId="7B39EE4E" w:rsidR="00DF0369" w:rsidRPr="00DF0369" w:rsidRDefault="00DF0369" w:rsidP="00AA6712">
      <w:pPr>
        <w:rPr>
          <w:rtl/>
        </w:rPr>
      </w:pPr>
      <w:r w:rsidRPr="00DF0369">
        <w:rPr>
          <w:rtl/>
        </w:rPr>
        <w:t xml:space="preserve">فهذه القرينة </w:t>
      </w:r>
      <w:r w:rsidR="00EB0ADD">
        <w:rPr>
          <w:rFonts w:hint="cs"/>
          <w:rtl/>
        </w:rPr>
        <w:t>تورث</w:t>
      </w:r>
      <w:r w:rsidRPr="00DF0369">
        <w:rPr>
          <w:rtl/>
        </w:rPr>
        <w:t xml:space="preserve"> الإجمال في الدليل المشترك للأصلين المؤمّنين في الطرفين إذا كانا من سنخ واحد</w:t>
      </w:r>
      <w:r w:rsidR="00A34CC9">
        <w:rPr>
          <w:rFonts w:hint="cs"/>
          <w:rtl/>
        </w:rPr>
        <w:t xml:space="preserve">، </w:t>
      </w:r>
      <w:r w:rsidRPr="00DF0369">
        <w:rPr>
          <w:rtl/>
        </w:rPr>
        <w:t>فيسقط دليل الأصل المؤمّن بسبب الإجمال لا بالتساقط حتّى يقال بأنّ التساقط ثلاثيّ الأطراف. وحينئذ يصبح الأصل الطوليّ صالحا</w:t>
      </w:r>
      <w:r w:rsidR="00A34CC9">
        <w:rPr>
          <w:rFonts w:hint="cs"/>
          <w:rtl/>
        </w:rPr>
        <w:t>ً</w:t>
      </w:r>
      <w:r w:rsidRPr="00DF0369">
        <w:rPr>
          <w:rtl/>
        </w:rPr>
        <w:t xml:space="preserve"> للجريان؛ لأنّه لا يتساقط مع أصل</w:t>
      </w:r>
      <w:r w:rsidR="00A34CC9">
        <w:rPr>
          <w:rFonts w:hint="cs"/>
          <w:rtl/>
        </w:rPr>
        <w:t>.</w:t>
      </w:r>
    </w:p>
    <w:p w14:paraId="44D389F0" w14:textId="079794DA" w:rsidR="00DF0369" w:rsidRPr="00DF0369" w:rsidRDefault="00DF0369" w:rsidP="00DF0369">
      <w:pPr>
        <w:rPr>
          <w:rtl/>
        </w:rPr>
      </w:pPr>
      <w:r w:rsidRPr="00DF0369">
        <w:rPr>
          <w:rtl/>
        </w:rPr>
        <w:t>ومثاله ما إذا علم إجمالا</w:t>
      </w:r>
      <w:r w:rsidR="00AF5650">
        <w:rPr>
          <w:rFonts w:hint="cs"/>
          <w:rtl/>
        </w:rPr>
        <w:t>ً</w:t>
      </w:r>
      <w:r w:rsidRPr="00DF0369">
        <w:rPr>
          <w:rtl/>
        </w:rPr>
        <w:t xml:space="preserve"> بنجاسة هذا الماء أو نجاسة هذا الثوب</w:t>
      </w:r>
      <w:r w:rsidR="00103DE2">
        <w:rPr>
          <w:rFonts w:hint="cs"/>
          <w:rtl/>
        </w:rPr>
        <w:t>،</w:t>
      </w:r>
      <w:r w:rsidRPr="00DF0369">
        <w:rPr>
          <w:rtl/>
        </w:rPr>
        <w:t xml:space="preserve"> فتوجد في كلّ منهما أصالة طهارة</w:t>
      </w:r>
      <w:r w:rsidR="00103DE2">
        <w:rPr>
          <w:rFonts w:hint="cs"/>
          <w:rtl/>
        </w:rPr>
        <w:t>ٍ</w:t>
      </w:r>
      <w:r w:rsidRPr="00DF0369">
        <w:rPr>
          <w:rtl/>
        </w:rPr>
        <w:t xml:space="preserve"> تجري بطبعها. إذاً فهما من سنخ واحد.</w:t>
      </w:r>
    </w:p>
    <w:p w14:paraId="025FA7A4" w14:textId="2F11AF32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وبعد تساقطهما يمكن التسمّك بجريان الأصل الطوليّ الذي يصلح للجريان في الماء فقط وهو </w:t>
      </w:r>
      <w:r w:rsidR="00103DE2">
        <w:rPr>
          <w:rFonts w:hint="cs"/>
          <w:rtl/>
        </w:rPr>
        <w:t>«</w:t>
      </w:r>
      <w:r w:rsidRPr="00DF0369">
        <w:rPr>
          <w:rtl/>
        </w:rPr>
        <w:t>أصالة الحلّ</w:t>
      </w:r>
      <w:r w:rsidR="00103DE2">
        <w:rPr>
          <w:rFonts w:hint="cs"/>
          <w:rtl/>
        </w:rPr>
        <w:t>»</w:t>
      </w:r>
      <w:r w:rsidRPr="00DF0369">
        <w:rPr>
          <w:rtl/>
        </w:rPr>
        <w:t>. فلا يمكن إجراؤها في الثوب؛ لأنّ</w:t>
      </w:r>
      <w:r w:rsidR="002B56F5">
        <w:rPr>
          <w:rFonts w:hint="cs"/>
          <w:rtl/>
        </w:rPr>
        <w:t xml:space="preserve"> الثوب</w:t>
      </w:r>
      <w:r w:rsidRPr="00DF0369">
        <w:rPr>
          <w:rtl/>
        </w:rPr>
        <w:t xml:space="preserve"> لا يصلح للحلّيّة والحرمة</w:t>
      </w:r>
      <w:r w:rsidR="002B56F5">
        <w:rPr>
          <w:rFonts w:hint="cs"/>
          <w:rtl/>
        </w:rPr>
        <w:t>،</w:t>
      </w:r>
      <w:r w:rsidRPr="00DF0369">
        <w:rPr>
          <w:rtl/>
        </w:rPr>
        <w:t xml:space="preserve"> وإنّما يصلح لصحّة الصلاة </w:t>
      </w:r>
      <w:r w:rsidR="002B56F5">
        <w:rPr>
          <w:rFonts w:hint="cs"/>
          <w:rtl/>
        </w:rPr>
        <w:t>و</w:t>
      </w:r>
      <w:r w:rsidRPr="00DF0369">
        <w:rPr>
          <w:rtl/>
        </w:rPr>
        <w:t xml:space="preserve">عدمها فيه. وأصالة الحلّ </w:t>
      </w:r>
      <w:r w:rsidR="00920FAA">
        <w:rPr>
          <w:rFonts w:hint="cs"/>
          <w:rtl/>
        </w:rPr>
        <w:t xml:space="preserve">هذه </w:t>
      </w:r>
      <w:r w:rsidR="008E538A">
        <w:rPr>
          <w:rFonts w:hint="cs"/>
          <w:rtl/>
        </w:rPr>
        <w:t xml:space="preserve">تكون </w:t>
      </w:r>
      <w:r w:rsidRPr="00DF0369">
        <w:rPr>
          <w:rtl/>
        </w:rPr>
        <w:t xml:space="preserve">في طول أصالة </w:t>
      </w:r>
      <w:r w:rsidRPr="00DF0369">
        <w:rPr>
          <w:rtl/>
        </w:rPr>
        <w:lastRenderedPageBreak/>
        <w:t>الطهارة في الماء</w:t>
      </w:r>
      <w:r w:rsidR="008E538A">
        <w:rPr>
          <w:rFonts w:hint="cs"/>
          <w:rtl/>
        </w:rPr>
        <w:t>،</w:t>
      </w:r>
      <w:r w:rsidRPr="00DF0369">
        <w:rPr>
          <w:rtl/>
        </w:rPr>
        <w:t xml:space="preserve"> </w:t>
      </w:r>
      <w:r w:rsidR="008E538A">
        <w:rPr>
          <w:rFonts w:hint="cs"/>
          <w:rtl/>
        </w:rPr>
        <w:t>ل</w:t>
      </w:r>
      <w:r w:rsidRPr="00DF0369">
        <w:rPr>
          <w:rtl/>
        </w:rPr>
        <w:t>أنّ أصالة الطهارة في الماء تعتبر أصلا</w:t>
      </w:r>
      <w:r w:rsidR="00E607AB">
        <w:rPr>
          <w:rFonts w:hint="cs"/>
          <w:rtl/>
        </w:rPr>
        <w:t>ً</w:t>
      </w:r>
      <w:r w:rsidRPr="00DF0369">
        <w:rPr>
          <w:rtl/>
        </w:rPr>
        <w:t xml:space="preserve"> سببيّا</w:t>
      </w:r>
      <w:r w:rsidR="00E607AB">
        <w:rPr>
          <w:rFonts w:hint="cs"/>
          <w:rtl/>
        </w:rPr>
        <w:t>ً</w:t>
      </w:r>
      <w:r w:rsidRPr="00DF0369">
        <w:rPr>
          <w:rtl/>
        </w:rPr>
        <w:t xml:space="preserve"> وأصالة الحلّ أصلا</w:t>
      </w:r>
      <w:r w:rsidR="00E607AB">
        <w:rPr>
          <w:rFonts w:hint="cs"/>
          <w:rtl/>
        </w:rPr>
        <w:t>ً</w:t>
      </w:r>
      <w:r w:rsidRPr="00DF0369">
        <w:rPr>
          <w:rtl/>
        </w:rPr>
        <w:t xml:space="preserve"> مسبّبيّا؛ لأنّ سبب الشكّ في الحلّيّة هو الشكّ في الطهارة، فالأصل الذي يجري في الطهارة أصل سببيّ والذي يجري في الحلّيّة مسبّبيّ.</w:t>
      </w:r>
    </w:p>
    <w:p w14:paraId="2AAEDDD3" w14:textId="1A86B953" w:rsidR="00DF0369" w:rsidRPr="00DF0369" w:rsidRDefault="00DF0369" w:rsidP="00DF0369">
      <w:pPr>
        <w:rPr>
          <w:rtl/>
        </w:rPr>
      </w:pPr>
      <w:r w:rsidRPr="00DF0369">
        <w:rPr>
          <w:rtl/>
        </w:rPr>
        <w:t>والمثال المعروف للأصل السببيّ والمسبّبي ما إذا غسلنا الثوب المتنجّس بماء مستصحب الطهارة</w:t>
      </w:r>
      <w:r w:rsidR="00A14CC1">
        <w:rPr>
          <w:rFonts w:hint="cs"/>
          <w:rtl/>
        </w:rPr>
        <w:t>،</w:t>
      </w:r>
      <w:r w:rsidRPr="00DF0369">
        <w:rPr>
          <w:rtl/>
        </w:rPr>
        <w:t xml:space="preserve"> فاستصحاب الطهارة في الماء سببيّ واستصحاب نجاسة الثوب مسبّبيّ</w:t>
      </w:r>
      <w:r w:rsidR="00A14CC1">
        <w:rPr>
          <w:rFonts w:hint="cs"/>
          <w:rtl/>
        </w:rPr>
        <w:t>،</w:t>
      </w:r>
      <w:r w:rsidRPr="00DF0369">
        <w:rPr>
          <w:rtl/>
        </w:rPr>
        <w:t xml:space="preserve"> والأصل السببيّ يتقدّم على المسبّبيّ.</w:t>
      </w:r>
    </w:p>
    <w:p w14:paraId="1180B7AE" w14:textId="12631346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وهنا كلام في تقدّم الأصل السببيّ </w:t>
      </w:r>
      <w:r w:rsidR="00A14CC1">
        <w:rPr>
          <w:rFonts w:hint="cs"/>
          <w:rtl/>
        </w:rPr>
        <w:t>ب</w:t>
      </w:r>
      <w:r w:rsidRPr="00DF0369">
        <w:rPr>
          <w:rtl/>
        </w:rPr>
        <w:t xml:space="preserve">أنّه هل هو إنّما فيما إذا كان نتيجتهما مختلفة؟ </w:t>
      </w:r>
      <w:r w:rsidR="00A14CC1">
        <w:rPr>
          <w:rtl/>
        </w:rPr>
        <w:t>–</w:t>
      </w:r>
      <w:r w:rsidR="00A14CC1">
        <w:rPr>
          <w:rFonts w:hint="cs"/>
          <w:rtl/>
        </w:rPr>
        <w:t xml:space="preserve"> </w:t>
      </w:r>
      <w:r w:rsidRPr="00DF0369">
        <w:rPr>
          <w:rtl/>
        </w:rPr>
        <w:t>مثل ما إذا كان أحدهما يؤدّي إلى النجاسة والآخر إلى الطهارة كما في المثال المعروف حيث يؤدّي السببيّ فيه إلى طهارة الثوب والمسبّبي إلى نجاسته – أم أنّه مقدّم حتّى إذا كانت النتائج متّفقة كما فيما نحن فيه</w:t>
      </w:r>
      <w:r w:rsidR="00A14CC1">
        <w:rPr>
          <w:rFonts w:hint="cs"/>
          <w:rtl/>
        </w:rPr>
        <w:t>؟</w:t>
      </w:r>
    </w:p>
    <w:p w14:paraId="12135865" w14:textId="2079F831" w:rsidR="00DF0369" w:rsidRDefault="00DF0369" w:rsidP="00DF0369">
      <w:pPr>
        <w:rPr>
          <w:rtl/>
        </w:rPr>
      </w:pPr>
      <w:r w:rsidRPr="00DF0369">
        <w:rPr>
          <w:rtl/>
        </w:rPr>
        <w:t xml:space="preserve">ويبدو </w:t>
      </w:r>
      <w:r w:rsidR="00306F9D">
        <w:rPr>
          <w:rFonts w:hint="cs"/>
          <w:rtl/>
        </w:rPr>
        <w:t xml:space="preserve">أنّ </w:t>
      </w:r>
      <w:r w:rsidRPr="00DF0369">
        <w:rPr>
          <w:rtl/>
        </w:rPr>
        <w:t xml:space="preserve">السيّد الخوئيّ </w:t>
      </w:r>
      <w:r w:rsidR="00306F9D">
        <w:rPr>
          <w:rFonts w:hint="cs"/>
          <w:rtl/>
        </w:rPr>
        <w:t>يعتقد ب</w:t>
      </w:r>
      <w:r w:rsidRPr="00DF0369">
        <w:rPr>
          <w:rtl/>
        </w:rPr>
        <w:t>تقدّمه حتّى فيما إذا كان</w:t>
      </w:r>
      <w:r w:rsidR="00306F9D">
        <w:rPr>
          <w:rFonts w:hint="cs"/>
          <w:rtl/>
        </w:rPr>
        <w:t>ت نتيجتهما</w:t>
      </w:r>
      <w:r w:rsidRPr="00DF0369">
        <w:rPr>
          <w:rtl/>
        </w:rPr>
        <w:t xml:space="preserve"> متّحدة</w:t>
      </w:r>
      <w:r w:rsidR="009B4A65">
        <w:rPr>
          <w:rFonts w:hint="cs"/>
          <w:rtl/>
        </w:rPr>
        <w:t>، [فتتقدّم أصالة الطهارة على أصالة الحلّ هنا وتكون أصالة الحلّ أصلاً طوليّاً بالنسبة إلى أصالة الطهارة].</w:t>
      </w:r>
    </w:p>
    <w:p w14:paraId="70E4692E" w14:textId="77777777" w:rsidR="00BB7F3E" w:rsidRPr="00DF0369" w:rsidRDefault="00BB7F3E" w:rsidP="00DF0369">
      <w:pPr>
        <w:rPr>
          <w:rtl/>
        </w:rPr>
      </w:pPr>
    </w:p>
    <w:p w14:paraId="0B32C76D" w14:textId="5D7424FE" w:rsidR="00DF0369" w:rsidRPr="00DF0369" w:rsidRDefault="00DF0369" w:rsidP="00DF0369">
      <w:pPr>
        <w:rPr>
          <w:rtl/>
        </w:rPr>
      </w:pPr>
      <w:r w:rsidRPr="00DF0369">
        <w:rPr>
          <w:rtl/>
        </w:rPr>
        <w:t>وأمّا مثال الحالة الثانية</w:t>
      </w:r>
      <w:r w:rsidR="00BD6BB8">
        <w:rPr>
          <w:rFonts w:hint="cs"/>
          <w:rtl/>
        </w:rPr>
        <w:t xml:space="preserve"> </w:t>
      </w:r>
      <w:r w:rsidR="00BD6BB8">
        <w:rPr>
          <w:rtl/>
        </w:rPr>
        <w:t>–</w:t>
      </w:r>
      <w:r w:rsidR="00BD6BB8">
        <w:rPr>
          <w:rFonts w:hint="cs"/>
          <w:rtl/>
        </w:rPr>
        <w:t xml:space="preserve"> التي </w:t>
      </w:r>
      <w:r w:rsidR="0049492A">
        <w:rPr>
          <w:rFonts w:hint="cs"/>
          <w:rtl/>
        </w:rPr>
        <w:t xml:space="preserve">تكون الأصلان المتعارضان فيها مختلفين في السنخ والدليل </w:t>
      </w:r>
      <w:r w:rsidR="0049492A">
        <w:rPr>
          <w:rtl/>
        </w:rPr>
        <w:t>–</w:t>
      </w:r>
      <w:r w:rsidRPr="00DF0369">
        <w:rPr>
          <w:rtl/>
        </w:rPr>
        <w:t xml:space="preserve"> ما إذا علم إجمالا</w:t>
      </w:r>
      <w:r w:rsidR="0049492A">
        <w:rPr>
          <w:rFonts w:hint="cs"/>
          <w:rtl/>
        </w:rPr>
        <w:t>ً</w:t>
      </w:r>
      <w:r w:rsidRPr="00DF0369">
        <w:rPr>
          <w:rtl/>
        </w:rPr>
        <w:t xml:space="preserve"> بنجاسة هذا الماء </w:t>
      </w:r>
      <w:r w:rsidR="002556A6">
        <w:rPr>
          <w:rFonts w:hint="cs"/>
          <w:rtl/>
        </w:rPr>
        <w:t xml:space="preserve">المسبوق بالطهارة، </w:t>
      </w:r>
      <w:r w:rsidRPr="00DF0369">
        <w:rPr>
          <w:rtl/>
        </w:rPr>
        <w:t>أو بوليّة هذا المائع.</w:t>
      </w:r>
    </w:p>
    <w:p w14:paraId="361964EF" w14:textId="51723BBF" w:rsidR="00DF0369" w:rsidRPr="00DF0369" w:rsidRDefault="00DF0369" w:rsidP="00DF0369">
      <w:pPr>
        <w:rPr>
          <w:rtl/>
        </w:rPr>
      </w:pPr>
      <w:r w:rsidRPr="00DF0369">
        <w:rPr>
          <w:rtl/>
        </w:rPr>
        <w:t>وأصالة الطهارة بطبعه قابلة للجريان في كليهما ولكن يوجد في طرف الماء استصحاب؛ لكونه مسبوقا</w:t>
      </w:r>
      <w:r w:rsidR="00EB7C71">
        <w:rPr>
          <w:rFonts w:hint="cs"/>
          <w:rtl/>
        </w:rPr>
        <w:t>ً</w:t>
      </w:r>
      <w:r w:rsidRPr="00DF0369">
        <w:rPr>
          <w:rtl/>
        </w:rPr>
        <w:t xml:space="preserve"> بالطهارة</w:t>
      </w:r>
      <w:r w:rsidR="002556A6">
        <w:rPr>
          <w:rFonts w:hint="cs"/>
          <w:rtl/>
        </w:rPr>
        <w:t>،</w:t>
      </w:r>
      <w:r w:rsidRPr="00DF0369">
        <w:rPr>
          <w:rtl/>
        </w:rPr>
        <w:t xml:space="preserve"> وما دام الاستصحاب يجري </w:t>
      </w:r>
      <w:r w:rsidR="002556A6">
        <w:rPr>
          <w:rtl/>
        </w:rPr>
        <w:t>–</w:t>
      </w:r>
      <w:r w:rsidRPr="00DF0369">
        <w:rPr>
          <w:rtl/>
        </w:rPr>
        <w:t xml:space="preserve"> </w:t>
      </w:r>
      <w:r w:rsidR="00A631AC">
        <w:rPr>
          <w:rFonts w:hint="cs"/>
          <w:rtl/>
        </w:rPr>
        <w:t>وهو</w:t>
      </w:r>
      <w:r w:rsidRPr="00DF0369">
        <w:rPr>
          <w:rtl/>
        </w:rPr>
        <w:t xml:space="preserve"> أصل </w:t>
      </w:r>
      <w:r w:rsidRPr="008D3A34">
        <w:rPr>
          <w:caps/>
          <w:rtl/>
        </w:rPr>
        <w:t>محرز</w:t>
      </w:r>
      <w:r w:rsidRPr="00DF0369">
        <w:rPr>
          <w:rtl/>
        </w:rPr>
        <w:t xml:space="preserve"> </w:t>
      </w:r>
      <w:r w:rsidR="002556A6">
        <w:rPr>
          <w:rtl/>
        </w:rPr>
        <w:t>–</w:t>
      </w:r>
      <w:r w:rsidRPr="00DF0369">
        <w:rPr>
          <w:rtl/>
        </w:rPr>
        <w:t xml:space="preserve"> فيتقدّم على أصالة الطهارة </w:t>
      </w:r>
      <w:r w:rsidR="00A631AC">
        <w:rPr>
          <w:rtl/>
        </w:rPr>
        <w:t>–</w:t>
      </w:r>
      <w:r w:rsidR="00A631AC">
        <w:rPr>
          <w:rFonts w:hint="cs"/>
          <w:rtl/>
        </w:rPr>
        <w:t xml:space="preserve"> التي </w:t>
      </w:r>
      <w:r w:rsidRPr="00DF0369">
        <w:rPr>
          <w:rtl/>
        </w:rPr>
        <w:t>هي أصل بحت</w:t>
      </w:r>
      <w:r w:rsidR="00A631AC">
        <w:rPr>
          <w:rFonts w:hint="cs"/>
          <w:rtl/>
        </w:rPr>
        <w:t xml:space="preserve"> </w:t>
      </w:r>
      <w:r w:rsidR="00A631AC">
        <w:rPr>
          <w:rtl/>
        </w:rPr>
        <w:t>–</w:t>
      </w:r>
      <w:r w:rsidR="00A631AC">
        <w:rPr>
          <w:rFonts w:hint="cs"/>
          <w:rtl/>
        </w:rPr>
        <w:t xml:space="preserve"> </w:t>
      </w:r>
      <w:r w:rsidRPr="00DF0369">
        <w:rPr>
          <w:rtl/>
        </w:rPr>
        <w:t>فلا تجري أصالة الطهارة في الماء.</w:t>
      </w:r>
    </w:p>
    <w:p w14:paraId="0741F17B" w14:textId="01947B8B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وفي الطرف الآخر لا يوجد استصحاب؛ لأنّا لا </w:t>
      </w:r>
      <w:r w:rsidR="00A1044D">
        <w:rPr>
          <w:rFonts w:hint="cs"/>
          <w:rtl/>
        </w:rPr>
        <w:t>نعرف</w:t>
      </w:r>
      <w:r w:rsidRPr="00DF0369">
        <w:rPr>
          <w:rtl/>
        </w:rPr>
        <w:t xml:space="preserve"> أنّ المائع في هذا الطرف ماء أو بول، فلا يجري استصحاب البوليّة أو المائيّة.</w:t>
      </w:r>
    </w:p>
    <w:p w14:paraId="07D9A832" w14:textId="2B4A7F57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فيقع التعارض بين استصحاب الطهارة وأصالة الطهارة وهما من سنخين، فدليل الأصل في طرف الماء </w:t>
      </w:r>
      <w:r w:rsidR="00E86A9D">
        <w:rPr>
          <w:rtl/>
        </w:rPr>
        <w:t>–</w:t>
      </w:r>
      <w:r w:rsidR="00E86A9D">
        <w:rPr>
          <w:rFonts w:hint="cs"/>
          <w:rtl/>
        </w:rPr>
        <w:t xml:space="preserve"> </w:t>
      </w:r>
      <w:r w:rsidRPr="00DF0369">
        <w:rPr>
          <w:rtl/>
        </w:rPr>
        <w:t xml:space="preserve">وهو الاستصحاب </w:t>
      </w:r>
      <w:r w:rsidR="00E86A9D">
        <w:rPr>
          <w:rtl/>
        </w:rPr>
        <w:t>–</w:t>
      </w:r>
      <w:r w:rsidR="00E86A9D">
        <w:rPr>
          <w:rFonts w:hint="cs"/>
          <w:rtl/>
        </w:rPr>
        <w:t xml:space="preserve"> </w:t>
      </w:r>
      <w:r w:rsidRPr="00DF0369">
        <w:rPr>
          <w:rtl/>
        </w:rPr>
        <w:t xml:space="preserve">«لا تنقض اليقين بالشكّ»، وفي طرف المائع </w:t>
      </w:r>
      <w:r w:rsidR="00E86A9D">
        <w:rPr>
          <w:rtl/>
        </w:rPr>
        <w:t>–</w:t>
      </w:r>
      <w:r w:rsidRPr="00DF0369">
        <w:rPr>
          <w:rtl/>
        </w:rPr>
        <w:t xml:space="preserve"> وهي أصالة الطهارة </w:t>
      </w:r>
      <w:r w:rsidR="00E86A9D">
        <w:rPr>
          <w:rtl/>
        </w:rPr>
        <w:t>–</w:t>
      </w:r>
      <w:r w:rsidRPr="00DF0369">
        <w:rPr>
          <w:rtl/>
        </w:rPr>
        <w:t xml:space="preserve"> «كلّ شيء لك طاهر حتّى تعرف أنّه نجس». وليس المشكلة هنا مشكلة الإجمال؛ لأنّ دليل</w:t>
      </w:r>
      <w:r w:rsidR="0059320D">
        <w:rPr>
          <w:rFonts w:hint="cs"/>
          <w:rtl/>
        </w:rPr>
        <w:t>ي</w:t>
      </w:r>
      <w:r w:rsidRPr="00DF0369">
        <w:rPr>
          <w:rtl/>
        </w:rPr>
        <w:t xml:space="preserve">هما </w:t>
      </w:r>
      <w:r w:rsidR="0059320D">
        <w:rPr>
          <w:rFonts w:hint="cs"/>
          <w:rtl/>
        </w:rPr>
        <w:t>مختلفان</w:t>
      </w:r>
      <w:r w:rsidR="00B74285">
        <w:rPr>
          <w:rFonts w:hint="cs"/>
          <w:rtl/>
        </w:rPr>
        <w:t>،</w:t>
      </w:r>
      <w:r w:rsidRPr="00DF0369">
        <w:rPr>
          <w:rtl/>
        </w:rPr>
        <w:t xml:space="preserve"> فيتعارضان ويتساقطان.</w:t>
      </w:r>
    </w:p>
    <w:p w14:paraId="2312E13C" w14:textId="2B36F2ED" w:rsidR="00DF0369" w:rsidRPr="00DF0369" w:rsidRDefault="00DF0369" w:rsidP="003B0C0E">
      <w:pPr>
        <w:rPr>
          <w:rtl/>
        </w:rPr>
      </w:pPr>
      <w:r w:rsidRPr="00DF0369">
        <w:rPr>
          <w:rtl/>
        </w:rPr>
        <w:t>ويقول السيد الخوئي</w:t>
      </w:r>
      <w:r w:rsidR="005E6A00">
        <w:rPr>
          <w:rFonts w:hint="cs"/>
          <w:rtl/>
        </w:rPr>
        <w:t xml:space="preserve"> رحمه الله</w:t>
      </w:r>
      <w:r w:rsidRPr="00DF0369">
        <w:rPr>
          <w:rtl/>
        </w:rPr>
        <w:t xml:space="preserve">: إذا كانت الطوليّة </w:t>
      </w:r>
      <w:r w:rsidR="003B0C0E">
        <w:rPr>
          <w:rFonts w:hint="cs"/>
          <w:rtl/>
        </w:rPr>
        <w:t xml:space="preserve">في </w:t>
      </w:r>
      <w:r w:rsidRPr="00DF0369">
        <w:rPr>
          <w:rtl/>
        </w:rPr>
        <w:t>الأصل الطوليّ رتبيّة</w:t>
      </w:r>
      <w:r w:rsidR="003B0C0E">
        <w:rPr>
          <w:rFonts w:hint="cs"/>
          <w:rtl/>
        </w:rPr>
        <w:t>ً</w:t>
      </w:r>
      <w:r w:rsidRPr="00DF0369">
        <w:rPr>
          <w:rtl/>
        </w:rPr>
        <w:t xml:space="preserve"> لا زمانيّة لا تمنع عن مشاركة الأصل الطوليّ مع غيره في التساقط</w:t>
      </w:r>
      <w:r w:rsidR="003B0C0E">
        <w:rPr>
          <w:rFonts w:hint="cs"/>
          <w:rtl/>
        </w:rPr>
        <w:t xml:space="preserve">، بخلاف ما </w:t>
      </w:r>
      <w:r w:rsidRPr="00DF0369">
        <w:rPr>
          <w:rtl/>
        </w:rPr>
        <w:t xml:space="preserve">إذا </w:t>
      </w:r>
      <w:r w:rsidR="003B0C0E">
        <w:rPr>
          <w:rFonts w:hint="cs"/>
          <w:rtl/>
        </w:rPr>
        <w:t>جرى</w:t>
      </w:r>
      <w:r w:rsidRPr="00DF0369">
        <w:rPr>
          <w:rtl/>
        </w:rPr>
        <w:t xml:space="preserve"> الأصل الطوليّ في زمان بعد سقوط ذينك الأصلين </w:t>
      </w:r>
      <w:r w:rsidR="0020759C">
        <w:rPr>
          <w:rFonts w:hint="cs"/>
          <w:rtl/>
        </w:rPr>
        <w:t>ف</w:t>
      </w:r>
      <w:r w:rsidRPr="00DF0369">
        <w:rPr>
          <w:rtl/>
        </w:rPr>
        <w:t>لا يبتل</w:t>
      </w:r>
      <w:r w:rsidR="00D43EF1">
        <w:rPr>
          <w:rFonts w:hint="cs"/>
          <w:rtl/>
        </w:rPr>
        <w:t>ى</w:t>
      </w:r>
      <w:r w:rsidRPr="00DF0369">
        <w:rPr>
          <w:rtl/>
        </w:rPr>
        <w:t xml:space="preserve"> بالتعارض</w:t>
      </w:r>
      <w:r w:rsidR="00D43EF1">
        <w:rPr>
          <w:rFonts w:hint="cs"/>
          <w:rtl/>
        </w:rPr>
        <w:t>.</w:t>
      </w:r>
      <w:r w:rsidRPr="00DF0369">
        <w:rPr>
          <w:rtl/>
        </w:rPr>
        <w:t xml:space="preserve"> </w:t>
      </w:r>
      <w:r w:rsidR="00D43EF1">
        <w:rPr>
          <w:rFonts w:hint="cs"/>
          <w:rtl/>
        </w:rPr>
        <w:t>ف</w:t>
      </w:r>
      <w:r w:rsidRPr="00DF0369">
        <w:rPr>
          <w:rtl/>
        </w:rPr>
        <w:t>إذا كانت الأصول الثلاثة كلّها في زمان واحد و</w:t>
      </w:r>
      <w:r w:rsidR="00D43EF1">
        <w:rPr>
          <w:rFonts w:hint="cs"/>
          <w:rtl/>
        </w:rPr>
        <w:t xml:space="preserve">كان </w:t>
      </w:r>
      <w:r w:rsidRPr="00DF0369">
        <w:rPr>
          <w:rtl/>
        </w:rPr>
        <w:t>الاختلاف رتبيّا</w:t>
      </w:r>
      <w:r w:rsidR="00D43EF1">
        <w:rPr>
          <w:rFonts w:hint="cs"/>
          <w:rtl/>
        </w:rPr>
        <w:t>ً</w:t>
      </w:r>
      <w:r w:rsidRPr="00DF0369">
        <w:rPr>
          <w:rtl/>
        </w:rPr>
        <w:t xml:space="preserve"> </w:t>
      </w:r>
      <w:r w:rsidR="00D43EF1">
        <w:rPr>
          <w:rFonts w:hint="cs"/>
          <w:rtl/>
        </w:rPr>
        <w:t xml:space="preserve">فقط لا </w:t>
      </w:r>
      <w:r w:rsidRPr="00DF0369">
        <w:rPr>
          <w:rtl/>
        </w:rPr>
        <w:t>زمانيّا</w:t>
      </w:r>
      <w:r w:rsidR="00D43EF1">
        <w:rPr>
          <w:rFonts w:hint="cs"/>
          <w:rtl/>
        </w:rPr>
        <w:t>ً</w:t>
      </w:r>
      <w:r w:rsidRPr="00DF0369">
        <w:rPr>
          <w:rtl/>
        </w:rPr>
        <w:t xml:space="preserve"> – حيث إنّ ثلاثتها تريد أن تجري في زمان واحد – فلا قيمة للطوليّة الرتبيّة من حيث مشاركة هذا الأصل الطوليّ في التعارض والتساقط.</w:t>
      </w:r>
    </w:p>
    <w:p w14:paraId="26578C8C" w14:textId="02F8C613" w:rsidR="00DF0369" w:rsidRPr="00DF0369" w:rsidRDefault="00FD523C" w:rsidP="00DF0369">
      <w:pPr>
        <w:rPr>
          <w:rtl/>
        </w:rPr>
      </w:pPr>
      <w:r>
        <w:rPr>
          <w:rFonts w:hint="cs"/>
          <w:rtl/>
        </w:rPr>
        <w:t>فبالنتيجة على رأي السيّد الخوئي رحمه الله</w:t>
      </w:r>
      <w:r w:rsidR="00DF0369" w:rsidRPr="00DF0369">
        <w:rPr>
          <w:rtl/>
        </w:rPr>
        <w:t xml:space="preserve"> </w:t>
      </w:r>
      <w:r>
        <w:rPr>
          <w:rFonts w:hint="cs"/>
          <w:rtl/>
        </w:rPr>
        <w:t xml:space="preserve">لا </w:t>
      </w:r>
      <w:r w:rsidR="00DF0369" w:rsidRPr="00DF0369">
        <w:rPr>
          <w:rtl/>
        </w:rPr>
        <w:t>نقدر أن نعتمد على هذا الأصل الطوليّ لإسقاط منجّزيّة العلم الإجماليّ لوجوب الموافقة القطعيّة.</w:t>
      </w:r>
    </w:p>
    <w:p w14:paraId="07B790DC" w14:textId="109CC589" w:rsidR="00DF0369" w:rsidRPr="00DF0369" w:rsidRDefault="00DF0369" w:rsidP="00DF0369">
      <w:pPr>
        <w:rPr>
          <w:rtl/>
        </w:rPr>
      </w:pPr>
      <w:r w:rsidRPr="00DF0369">
        <w:rPr>
          <w:rtl/>
        </w:rPr>
        <w:t>ولكنّه استثنى من الحالة الثانية حالة</w:t>
      </w:r>
      <w:r w:rsidR="00767CF7">
        <w:rPr>
          <w:rFonts w:hint="cs"/>
          <w:rtl/>
        </w:rPr>
        <w:t>ً</w:t>
      </w:r>
      <w:r w:rsidRPr="00DF0369">
        <w:rPr>
          <w:rtl/>
        </w:rPr>
        <w:t xml:space="preserve"> خاصّة</w:t>
      </w:r>
      <w:r w:rsidR="00767CF7">
        <w:rPr>
          <w:rFonts w:hint="cs"/>
          <w:rtl/>
        </w:rPr>
        <w:t>،</w:t>
      </w:r>
      <w:r w:rsidRPr="00DF0369">
        <w:rPr>
          <w:rtl/>
        </w:rPr>
        <w:t xml:space="preserve"> وهي ما إذا كان لكلّ من الأصلين </w:t>
      </w:r>
      <w:r w:rsidR="00767CF7">
        <w:rPr>
          <w:rtl/>
        </w:rPr>
        <w:t>–</w:t>
      </w:r>
      <w:r w:rsidRPr="00DF0369">
        <w:rPr>
          <w:rtl/>
        </w:rPr>
        <w:t xml:space="preserve"> ال</w:t>
      </w:r>
      <w:r w:rsidR="00767CF7">
        <w:rPr>
          <w:rFonts w:hint="cs"/>
          <w:rtl/>
        </w:rPr>
        <w:t>ل</w:t>
      </w:r>
      <w:r w:rsidRPr="00DF0369">
        <w:rPr>
          <w:rtl/>
        </w:rPr>
        <w:t xml:space="preserve">ذين هما بالدليلين المستقلّين </w:t>
      </w:r>
      <w:r w:rsidR="00767CF7">
        <w:rPr>
          <w:rtl/>
        </w:rPr>
        <w:t>–</w:t>
      </w:r>
      <w:r w:rsidRPr="00DF0369">
        <w:rPr>
          <w:rtl/>
        </w:rPr>
        <w:t xml:space="preserve"> أصل طوليّ و</w:t>
      </w:r>
      <w:r w:rsidR="00D4013B">
        <w:rPr>
          <w:rFonts w:hint="cs"/>
          <w:rtl/>
        </w:rPr>
        <w:t>كان</w:t>
      </w:r>
      <w:r w:rsidRPr="00DF0369">
        <w:rPr>
          <w:rtl/>
        </w:rPr>
        <w:t xml:space="preserve"> الأصل الطوليّ في أحدهما مؤمّن</w:t>
      </w:r>
      <w:r w:rsidR="00D4013B">
        <w:rPr>
          <w:rFonts w:hint="cs"/>
          <w:rtl/>
        </w:rPr>
        <w:t>اً</w:t>
      </w:r>
      <w:r w:rsidR="00767CF7">
        <w:rPr>
          <w:rFonts w:hint="cs"/>
          <w:rtl/>
        </w:rPr>
        <w:t>،</w:t>
      </w:r>
      <w:r w:rsidRPr="00DF0369">
        <w:rPr>
          <w:rtl/>
        </w:rPr>
        <w:t xml:space="preserve"> وفي الآخر مثبت</w:t>
      </w:r>
      <w:r w:rsidR="00D4013B">
        <w:rPr>
          <w:rFonts w:hint="cs"/>
          <w:rtl/>
        </w:rPr>
        <w:t>اً</w:t>
      </w:r>
      <w:r w:rsidRPr="00DF0369">
        <w:rPr>
          <w:rtl/>
        </w:rPr>
        <w:t xml:space="preserve"> للتكليف.</w:t>
      </w:r>
    </w:p>
    <w:p w14:paraId="2F410538" w14:textId="77777777" w:rsidR="003224EA" w:rsidRDefault="00DF0369" w:rsidP="00DF0369">
      <w:pPr>
        <w:rPr>
          <w:rtl/>
        </w:rPr>
      </w:pPr>
      <w:r w:rsidRPr="00DF0369">
        <w:rPr>
          <w:rtl/>
        </w:rPr>
        <w:t>ومثاله أن يكون المصلّي مشغولا</w:t>
      </w:r>
      <w:r w:rsidR="00AB4EE8">
        <w:rPr>
          <w:rFonts w:hint="cs"/>
          <w:rtl/>
        </w:rPr>
        <w:t>ً</w:t>
      </w:r>
      <w:r w:rsidRPr="00DF0369">
        <w:rPr>
          <w:rtl/>
        </w:rPr>
        <w:t xml:space="preserve"> بصلاته الثانية وعلم إجمالا</w:t>
      </w:r>
      <w:r w:rsidR="00AB4EE8">
        <w:rPr>
          <w:rFonts w:hint="cs"/>
          <w:rtl/>
        </w:rPr>
        <w:t>ً</w:t>
      </w:r>
      <w:r w:rsidRPr="00DF0369">
        <w:rPr>
          <w:rtl/>
        </w:rPr>
        <w:t xml:space="preserve"> </w:t>
      </w:r>
      <w:r w:rsidR="00AB4EE8">
        <w:rPr>
          <w:rtl/>
        </w:rPr>
        <w:t>–</w:t>
      </w:r>
      <w:r w:rsidRPr="00DF0369">
        <w:rPr>
          <w:rtl/>
        </w:rPr>
        <w:t xml:space="preserve"> بعد موضع الركوع وتجاوزه إلى عمل آخر </w:t>
      </w:r>
      <w:r w:rsidR="00AB4EE8">
        <w:rPr>
          <w:rtl/>
        </w:rPr>
        <w:t>–</w:t>
      </w:r>
      <w:r w:rsidRPr="00DF0369">
        <w:rPr>
          <w:rtl/>
        </w:rPr>
        <w:t xml:space="preserve"> بأنّه إمّا قد أتى بركوع زائد في صلاته السابقة</w:t>
      </w:r>
      <w:r w:rsidR="00AB4EE8">
        <w:rPr>
          <w:rFonts w:hint="cs"/>
          <w:rtl/>
        </w:rPr>
        <w:t>،</w:t>
      </w:r>
      <w:r w:rsidRPr="00DF0369">
        <w:rPr>
          <w:rtl/>
        </w:rPr>
        <w:t xml:space="preserve"> أو لم يركع في هذه الصلاة.</w:t>
      </w:r>
    </w:p>
    <w:p w14:paraId="283CEBAA" w14:textId="14273CF9" w:rsidR="00DF0369" w:rsidRPr="00DF0369" w:rsidRDefault="00DF0369" w:rsidP="00DF0369">
      <w:pPr>
        <w:rPr>
          <w:rtl/>
        </w:rPr>
      </w:pPr>
      <w:r w:rsidRPr="00DF0369">
        <w:rPr>
          <w:rtl/>
        </w:rPr>
        <w:t>ف</w:t>
      </w:r>
      <w:r w:rsidR="003224EA">
        <w:rPr>
          <w:rFonts w:hint="cs"/>
          <w:rtl/>
        </w:rPr>
        <w:t>تجري</w:t>
      </w:r>
      <w:r w:rsidRPr="00DF0369">
        <w:rPr>
          <w:rtl/>
        </w:rPr>
        <w:t xml:space="preserve"> قاعدة الفراغ بالنسبة إلى الصلاة السابقة </w:t>
      </w:r>
      <w:r w:rsidR="003224EA">
        <w:rPr>
          <w:rFonts w:hint="cs"/>
          <w:rtl/>
        </w:rPr>
        <w:t xml:space="preserve">ومقتضاه </w:t>
      </w:r>
      <w:r w:rsidRPr="00DF0369">
        <w:rPr>
          <w:rtl/>
        </w:rPr>
        <w:t>أن</w:t>
      </w:r>
      <w:r w:rsidR="003224EA">
        <w:rPr>
          <w:rFonts w:hint="cs"/>
          <w:rtl/>
        </w:rPr>
        <w:t>ّه</w:t>
      </w:r>
      <w:r w:rsidRPr="00DF0369">
        <w:rPr>
          <w:rtl/>
        </w:rPr>
        <w:t xml:space="preserve"> يبني على عدم تحق</w:t>
      </w:r>
      <w:r w:rsidR="003224EA">
        <w:rPr>
          <w:rFonts w:hint="cs"/>
          <w:rtl/>
        </w:rPr>
        <w:t>ّ</w:t>
      </w:r>
      <w:r w:rsidRPr="00DF0369">
        <w:rPr>
          <w:rtl/>
        </w:rPr>
        <w:t>ق الركوع الزائد فصحّت صلاته.</w:t>
      </w:r>
    </w:p>
    <w:p w14:paraId="4429A4E3" w14:textId="77777777" w:rsidR="00DF0369" w:rsidRPr="00DF0369" w:rsidRDefault="00DF0369" w:rsidP="00DF0369">
      <w:pPr>
        <w:rPr>
          <w:rtl/>
        </w:rPr>
      </w:pPr>
      <w:r w:rsidRPr="00DF0369">
        <w:rPr>
          <w:rtl/>
        </w:rPr>
        <w:lastRenderedPageBreak/>
        <w:t>وتجري قاعدة التجاوز في هذه الصلاة، القائلة بأنّه إذا شكّ بعد تجاوز المحلّ فالصلاة صحيحة ويبنى على صحّتها.</w:t>
      </w:r>
    </w:p>
    <w:p w14:paraId="0CA760ED" w14:textId="02703C11" w:rsidR="00DF0369" w:rsidRPr="00DF0369" w:rsidRDefault="00DF0369" w:rsidP="00DF0369">
      <w:pPr>
        <w:rPr>
          <w:rtl/>
        </w:rPr>
      </w:pPr>
      <w:r w:rsidRPr="00DF0369">
        <w:rPr>
          <w:rtl/>
        </w:rPr>
        <w:t>ولكن يقع تعارض</w:t>
      </w:r>
      <w:r w:rsidR="00E86544">
        <w:rPr>
          <w:rFonts w:hint="cs"/>
          <w:rtl/>
        </w:rPr>
        <w:t>ٌ</w:t>
      </w:r>
      <w:r w:rsidRPr="00DF0369">
        <w:rPr>
          <w:rtl/>
        </w:rPr>
        <w:t xml:space="preserve"> </w:t>
      </w:r>
      <w:r w:rsidR="00E86544">
        <w:rPr>
          <w:rFonts w:hint="cs"/>
          <w:rtl/>
        </w:rPr>
        <w:t xml:space="preserve">ناشئٌ عن </w:t>
      </w:r>
      <w:r w:rsidRPr="00DF0369">
        <w:rPr>
          <w:rtl/>
        </w:rPr>
        <w:t>العلم الإجماليّ بين قاعدة الفراغ في الصلاة السابقة وقاعدة التجاوز في هذه الصلاة بناء</w:t>
      </w:r>
      <w:r w:rsidR="00903CA3">
        <w:rPr>
          <w:rFonts w:hint="cs"/>
          <w:rtl/>
        </w:rPr>
        <w:t>ً</w:t>
      </w:r>
      <w:r w:rsidRPr="00DF0369">
        <w:rPr>
          <w:rtl/>
        </w:rPr>
        <w:t xml:space="preserve"> على أنّ دليلي القاعدتين مختلفان لا مشتركان، فلا يكون الدليلان من سنخ واحد.</w:t>
      </w:r>
    </w:p>
    <w:p w14:paraId="0C3E0A04" w14:textId="0B2A0720" w:rsidR="00DF0369" w:rsidRPr="00DF0369" w:rsidRDefault="00DF0369" w:rsidP="00DF0369">
      <w:pPr>
        <w:rPr>
          <w:rtl/>
        </w:rPr>
      </w:pPr>
      <w:r w:rsidRPr="00DF0369">
        <w:rPr>
          <w:rtl/>
        </w:rPr>
        <w:t>فيقول السيّد الخوئيّ</w:t>
      </w:r>
      <w:r w:rsidR="008D1569">
        <w:rPr>
          <w:rFonts w:hint="cs"/>
          <w:rtl/>
        </w:rPr>
        <w:t xml:space="preserve"> رحمه الله</w:t>
      </w:r>
      <w:r w:rsidRPr="00DF0369">
        <w:rPr>
          <w:rtl/>
        </w:rPr>
        <w:t>: إنّ</w:t>
      </w:r>
      <w:r w:rsidR="000C36E5">
        <w:rPr>
          <w:rFonts w:hint="cs"/>
          <w:rtl/>
        </w:rPr>
        <w:t>ه يوجد</w:t>
      </w:r>
      <w:r w:rsidRPr="00DF0369">
        <w:rPr>
          <w:rtl/>
        </w:rPr>
        <w:t xml:space="preserve"> </w:t>
      </w:r>
      <w:r w:rsidR="000C36E5">
        <w:rPr>
          <w:rFonts w:hint="cs"/>
          <w:rtl/>
        </w:rPr>
        <w:t>لكلا القاعدتين هنا (</w:t>
      </w:r>
      <w:r w:rsidRPr="00DF0369">
        <w:rPr>
          <w:rtl/>
        </w:rPr>
        <w:t>الفراغ والتجاوز</w:t>
      </w:r>
      <w:r w:rsidR="000C36E5">
        <w:rPr>
          <w:rFonts w:hint="cs"/>
          <w:rtl/>
        </w:rPr>
        <w:t>)</w:t>
      </w:r>
      <w:r w:rsidRPr="00DF0369">
        <w:rPr>
          <w:rtl/>
        </w:rPr>
        <w:t xml:space="preserve"> أصل طوليّ؛ لأنّه بعد تساقطهما تصل النوبة إلى استصحاب عدم الإتيان بركوع زائد بالنسبة إلى الصلاة السابقة وهو أصل مؤمّن</w:t>
      </w:r>
      <w:r w:rsidR="005F20B8">
        <w:rPr>
          <w:rFonts w:hint="cs"/>
          <w:rtl/>
        </w:rPr>
        <w:t>،</w:t>
      </w:r>
      <w:r w:rsidRPr="00DF0369">
        <w:rPr>
          <w:rtl/>
        </w:rPr>
        <w:t xml:space="preserve"> واستصحاب عدم الإتيان بالركوع في هذه الصلاة وهو أصل مثبت للتكليف</w:t>
      </w:r>
      <w:r w:rsidR="005F20B8">
        <w:rPr>
          <w:rFonts w:hint="cs"/>
          <w:rtl/>
        </w:rPr>
        <w:t>.</w:t>
      </w:r>
      <w:r w:rsidRPr="00DF0369">
        <w:rPr>
          <w:rtl/>
        </w:rPr>
        <w:t xml:space="preserve"> </w:t>
      </w:r>
      <w:r w:rsidR="005F20B8">
        <w:rPr>
          <w:rFonts w:hint="cs"/>
          <w:rtl/>
        </w:rPr>
        <w:t>فبالنتيجة</w:t>
      </w:r>
      <w:r w:rsidRPr="00DF0369">
        <w:rPr>
          <w:rtl/>
        </w:rPr>
        <w:t xml:space="preserve"> يسقط </w:t>
      </w:r>
      <w:r w:rsidR="00B36F4F">
        <w:rPr>
          <w:rFonts w:hint="cs"/>
          <w:rtl/>
        </w:rPr>
        <w:t xml:space="preserve">منجّزيّة العلم الإجمالي </w:t>
      </w:r>
      <w:r w:rsidRPr="00DF0369">
        <w:rPr>
          <w:rtl/>
        </w:rPr>
        <w:t>بالانحلال الحكميّ</w:t>
      </w:r>
      <w:r w:rsidR="00B36F4F">
        <w:rPr>
          <w:rStyle w:val="a5"/>
          <w:rtl/>
        </w:rPr>
        <w:footnoteReference w:id="1"/>
      </w:r>
      <w:r w:rsidRPr="00DF0369">
        <w:rPr>
          <w:rtl/>
        </w:rPr>
        <w:t xml:space="preserve"> ويصير حاله حال من يعلم إجمالا</w:t>
      </w:r>
      <w:r w:rsidR="004007BC">
        <w:rPr>
          <w:rFonts w:hint="cs"/>
          <w:rtl/>
        </w:rPr>
        <w:t>ً</w:t>
      </w:r>
      <w:r w:rsidRPr="00DF0369">
        <w:rPr>
          <w:rtl/>
        </w:rPr>
        <w:t xml:space="preserve"> بنجاسة </w:t>
      </w:r>
      <w:r w:rsidR="004007BC">
        <w:rPr>
          <w:rFonts w:hint="cs"/>
          <w:rtl/>
        </w:rPr>
        <w:t xml:space="preserve">هذا </w:t>
      </w:r>
      <w:r w:rsidRPr="00DF0369">
        <w:rPr>
          <w:rtl/>
        </w:rPr>
        <w:t>الإناء أو نجاسة ذاك الإناء</w:t>
      </w:r>
      <w:r w:rsidR="004007BC">
        <w:rPr>
          <w:rFonts w:hint="cs"/>
          <w:rtl/>
        </w:rPr>
        <w:t>،</w:t>
      </w:r>
      <w:r w:rsidRPr="00DF0369">
        <w:rPr>
          <w:rtl/>
        </w:rPr>
        <w:t xml:space="preserve"> ودلّ خبر </w:t>
      </w:r>
      <w:r w:rsidR="0013488B">
        <w:rPr>
          <w:rFonts w:hint="cs"/>
          <w:rtl/>
        </w:rPr>
        <w:t>ال</w:t>
      </w:r>
      <w:r w:rsidRPr="00DF0369">
        <w:rPr>
          <w:rtl/>
        </w:rPr>
        <w:t>ثقة على أنّ هذا الإناء مسبوق بالنجاسة</w:t>
      </w:r>
      <w:r w:rsidR="004007BC">
        <w:rPr>
          <w:rFonts w:hint="cs"/>
          <w:rtl/>
        </w:rPr>
        <w:t>،</w:t>
      </w:r>
      <w:r w:rsidRPr="00DF0369">
        <w:rPr>
          <w:rtl/>
        </w:rPr>
        <w:t xml:space="preserve"> ف</w:t>
      </w:r>
      <w:r w:rsidR="004007BC">
        <w:rPr>
          <w:rFonts w:hint="cs"/>
          <w:rtl/>
        </w:rPr>
        <w:t>ي</w:t>
      </w:r>
      <w:r w:rsidRPr="00DF0369">
        <w:rPr>
          <w:rtl/>
        </w:rPr>
        <w:t>جرى فيه استصحاب النجاسة</w:t>
      </w:r>
      <w:r w:rsidR="004007BC">
        <w:rPr>
          <w:rFonts w:hint="cs"/>
          <w:rtl/>
        </w:rPr>
        <w:t xml:space="preserve"> و</w:t>
      </w:r>
      <w:r w:rsidRPr="00DF0369">
        <w:rPr>
          <w:rtl/>
        </w:rPr>
        <w:t xml:space="preserve">ينحلّ </w:t>
      </w:r>
      <w:r w:rsidR="004007BC">
        <w:rPr>
          <w:rFonts w:hint="cs"/>
          <w:rtl/>
        </w:rPr>
        <w:t xml:space="preserve">العلم الإجماليّ </w:t>
      </w:r>
      <w:r w:rsidRPr="00DF0369">
        <w:rPr>
          <w:rtl/>
        </w:rPr>
        <w:t>انحلالا</w:t>
      </w:r>
      <w:r w:rsidR="004007BC">
        <w:rPr>
          <w:rFonts w:hint="cs"/>
          <w:rtl/>
        </w:rPr>
        <w:t>ً</w:t>
      </w:r>
      <w:r w:rsidRPr="00DF0369">
        <w:rPr>
          <w:rtl/>
        </w:rPr>
        <w:t xml:space="preserve"> حكميّا</w:t>
      </w:r>
      <w:r w:rsidR="00E56D66">
        <w:rPr>
          <w:rFonts w:hint="cs"/>
          <w:rtl/>
        </w:rPr>
        <w:t>ً</w:t>
      </w:r>
      <w:r w:rsidRPr="00DF0369">
        <w:rPr>
          <w:rtl/>
        </w:rPr>
        <w:t>.</w:t>
      </w:r>
    </w:p>
    <w:p w14:paraId="4312EB7B" w14:textId="7B4E9882" w:rsidR="00DF0369" w:rsidRPr="008C4540" w:rsidRDefault="00DF0369" w:rsidP="00DF0369">
      <w:pPr>
        <w:rPr>
          <w:rtl/>
        </w:rPr>
      </w:pPr>
      <w:r w:rsidRPr="00DF0369">
        <w:rPr>
          <w:rtl/>
        </w:rPr>
        <w:t>وهذا الأصل المثبت للتكليف في جانب قاعدة التجاوز فيما نحن فيه ي</w:t>
      </w:r>
      <w:r w:rsidR="008C4540">
        <w:rPr>
          <w:rFonts w:hint="cs"/>
          <w:rtl/>
        </w:rPr>
        <w:t>ُ</w:t>
      </w:r>
      <w:r w:rsidRPr="00DF0369">
        <w:rPr>
          <w:rtl/>
        </w:rPr>
        <w:t>سقط منجّزيّة العلم الإجماليّ ب</w:t>
      </w:r>
      <w:r w:rsidR="008C4540">
        <w:rPr>
          <w:rFonts w:hint="cs"/>
          <w:rtl/>
        </w:rPr>
        <w:t>ا</w:t>
      </w:r>
      <w:r w:rsidRPr="00DF0369">
        <w:rPr>
          <w:rtl/>
        </w:rPr>
        <w:t>ل</w:t>
      </w:r>
      <w:r w:rsidRPr="008C4540">
        <w:rPr>
          <w:rtl/>
        </w:rPr>
        <w:t xml:space="preserve">انحلال </w:t>
      </w:r>
      <w:r w:rsidR="008C4540">
        <w:rPr>
          <w:rFonts w:hint="cs"/>
          <w:rtl/>
        </w:rPr>
        <w:t>ال</w:t>
      </w:r>
      <w:r w:rsidRPr="008C4540">
        <w:rPr>
          <w:rtl/>
        </w:rPr>
        <w:t>حكمي</w:t>
      </w:r>
      <w:r w:rsidR="00DC6856">
        <w:rPr>
          <w:rFonts w:hint="cs"/>
          <w:rtl/>
        </w:rPr>
        <w:t>ّ</w:t>
      </w:r>
      <w:r w:rsidRPr="008C4540">
        <w:rPr>
          <w:rtl/>
        </w:rPr>
        <w:t>.</w:t>
      </w:r>
    </w:p>
    <w:p w14:paraId="47E0B815" w14:textId="7B0F31B0" w:rsidR="00DF0369" w:rsidRPr="00DF0369" w:rsidRDefault="00DF0369" w:rsidP="00DF0369">
      <w:pPr>
        <w:rPr>
          <w:rtl/>
        </w:rPr>
      </w:pPr>
      <w:r w:rsidRPr="00DF0369">
        <w:rPr>
          <w:rtl/>
        </w:rPr>
        <w:t xml:space="preserve">وبالتالي يمكن أن نتمسّك باستصحاب عدم إتيانه للركوع في الصلاة السابقة. فهذا </w:t>
      </w:r>
      <w:r w:rsidR="00E57783">
        <w:rPr>
          <w:rFonts w:hint="cs"/>
          <w:rtl/>
        </w:rPr>
        <w:t>ا</w:t>
      </w:r>
      <w:r w:rsidRPr="00DF0369">
        <w:rPr>
          <w:rtl/>
        </w:rPr>
        <w:t xml:space="preserve">لأصل المؤمّن </w:t>
      </w:r>
      <w:r w:rsidR="00DC2662">
        <w:rPr>
          <w:rFonts w:hint="cs"/>
          <w:rtl/>
        </w:rPr>
        <w:t xml:space="preserve">يمكنه أن يجري </w:t>
      </w:r>
      <w:r w:rsidRPr="00DF0369">
        <w:rPr>
          <w:rtl/>
        </w:rPr>
        <w:t>في طرف واحد.</w:t>
      </w:r>
    </w:p>
    <w:p w14:paraId="1302D4C6" w14:textId="10F22E1E" w:rsidR="00DF0369" w:rsidRPr="00DF0369" w:rsidRDefault="00DF0369" w:rsidP="00DF0369">
      <w:pPr>
        <w:rPr>
          <w:rtl/>
        </w:rPr>
      </w:pPr>
      <w:r w:rsidRPr="00DF0369">
        <w:rPr>
          <w:rtl/>
        </w:rPr>
        <w:t>وسيأتي رد</w:t>
      </w:r>
      <w:r w:rsidR="00DC2662">
        <w:rPr>
          <w:rFonts w:hint="cs"/>
          <w:rtl/>
        </w:rPr>
        <w:t>ّ</w:t>
      </w:r>
      <w:r w:rsidRPr="00DF0369">
        <w:rPr>
          <w:rtl/>
        </w:rPr>
        <w:t xml:space="preserve"> أستاذنا الشهيد رضوان الله تعالى عليه على ما ذكر.</w:t>
      </w:r>
    </w:p>
    <w:p w14:paraId="269ACD6F" w14:textId="6ABCF2B7" w:rsidR="00DF0369" w:rsidRDefault="00DF0369" w:rsidP="00DC2662">
      <w:pPr>
        <w:rPr>
          <w:rtl/>
        </w:rPr>
      </w:pPr>
      <w:r w:rsidRPr="00DF0369">
        <w:rPr>
          <w:rtl/>
        </w:rPr>
        <w:t>والحمد لله ربّ العالمين.</w:t>
      </w:r>
    </w:p>
    <w:sectPr w:rsidR="00DF0369" w:rsidSect="00B137FE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9AAF0" w14:textId="77777777" w:rsidR="0086617D" w:rsidRDefault="0086617D" w:rsidP="007800A5">
      <w:r>
        <w:separator/>
      </w:r>
    </w:p>
  </w:endnote>
  <w:endnote w:type="continuationSeparator" w:id="0">
    <w:p w14:paraId="284B2F7D" w14:textId="77777777" w:rsidR="0086617D" w:rsidRDefault="0086617D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440F8" w14:textId="77777777" w:rsidR="0086617D" w:rsidRDefault="0086617D" w:rsidP="007800A5">
      <w:r>
        <w:separator/>
      </w:r>
    </w:p>
  </w:footnote>
  <w:footnote w:type="continuationSeparator" w:id="0">
    <w:p w14:paraId="022ACCF5" w14:textId="77777777" w:rsidR="0086617D" w:rsidRDefault="0086617D" w:rsidP="007800A5">
      <w:r>
        <w:continuationSeparator/>
      </w:r>
    </w:p>
  </w:footnote>
  <w:footnote w:id="1">
    <w:p w14:paraId="4C30DA1D" w14:textId="7B08A60B" w:rsidR="00B36F4F" w:rsidRDefault="00B36F4F">
      <w:pPr>
        <w:pStyle w:val="a4"/>
        <w:rPr>
          <w:rFonts w:hint="cs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ذكر السيّد الأستاذ دام ظلّه في الدرس التالي (21 جمادى الآخرة 1444) أنّه </w:t>
      </w:r>
      <w:r w:rsidR="009A79B2">
        <w:rPr>
          <w:rFonts w:hint="cs"/>
          <w:rtl/>
        </w:rPr>
        <w:t xml:space="preserve">لا يعرف أنّ </w:t>
      </w:r>
      <w:r w:rsidR="006E6873">
        <w:rPr>
          <w:rFonts w:hint="cs"/>
          <w:rtl/>
        </w:rPr>
        <w:t>ال</w:t>
      </w:r>
      <w:r w:rsidR="009A79B2">
        <w:rPr>
          <w:rFonts w:hint="cs"/>
          <w:rtl/>
        </w:rPr>
        <w:t xml:space="preserve">مقصود </w:t>
      </w:r>
      <w:r w:rsidR="00783369">
        <w:rPr>
          <w:rFonts w:hint="cs"/>
          <w:rtl/>
        </w:rPr>
        <w:t xml:space="preserve">من «الانحلال» </w:t>
      </w:r>
      <w:r w:rsidR="006E6873">
        <w:rPr>
          <w:rFonts w:hint="cs"/>
          <w:rtl/>
        </w:rPr>
        <w:t xml:space="preserve">في كلام </w:t>
      </w:r>
      <w:r w:rsidR="009A79B2">
        <w:rPr>
          <w:rFonts w:hint="cs"/>
          <w:rtl/>
        </w:rPr>
        <w:t>السيّد الخوئي رحمه</w:t>
      </w:r>
      <w:r w:rsidR="00783369">
        <w:rPr>
          <w:rFonts w:hint="cs"/>
          <w:rtl/>
        </w:rPr>
        <w:t xml:space="preserve"> الله</w:t>
      </w:r>
      <w:r w:rsidR="009A79B2">
        <w:rPr>
          <w:rFonts w:hint="cs"/>
          <w:rtl/>
        </w:rPr>
        <w:t xml:space="preserve">، </w:t>
      </w:r>
      <w:r w:rsidR="006E6873">
        <w:rPr>
          <w:rFonts w:hint="cs"/>
          <w:rtl/>
        </w:rPr>
        <w:t xml:space="preserve">انحلال </w:t>
      </w:r>
      <w:r w:rsidR="009A79B2">
        <w:rPr>
          <w:rFonts w:hint="cs"/>
          <w:rtl/>
        </w:rPr>
        <w:t>حكميّ أو حقيقيّ؟</w:t>
      </w:r>
      <w:r w:rsidR="0048303D">
        <w:rPr>
          <w:rFonts w:hint="cs"/>
          <w:rtl/>
        </w:rPr>
        <w:t xml:space="preserve"> فليراجع.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5D8E5ED5" w:rsidR="005C6485" w:rsidRPr="00E87D9D" w:rsidRDefault="00512753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1</w:t>
    </w:r>
    <w:r w:rsidR="002076CF">
      <w:rPr>
        <w:rFonts w:hint="cs"/>
        <w:sz w:val="18"/>
        <w:szCs w:val="18"/>
        <w:rtl/>
      </w:rPr>
      <w:t>8</w:t>
    </w:r>
    <w:r w:rsidR="005C6485" w:rsidRPr="00E87D9D">
      <w:rPr>
        <w:sz w:val="18"/>
        <w:szCs w:val="18"/>
        <w:rtl/>
      </w:rPr>
      <w:t xml:space="preserve"> جمادى الآخرة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5A2C"/>
    <w:rsid w:val="000151C2"/>
    <w:rsid w:val="00020373"/>
    <w:rsid w:val="00022B90"/>
    <w:rsid w:val="00026F56"/>
    <w:rsid w:val="00027AD2"/>
    <w:rsid w:val="00030CDC"/>
    <w:rsid w:val="00036C97"/>
    <w:rsid w:val="000375C3"/>
    <w:rsid w:val="00053F38"/>
    <w:rsid w:val="00054C07"/>
    <w:rsid w:val="00061DA3"/>
    <w:rsid w:val="000642CF"/>
    <w:rsid w:val="00074598"/>
    <w:rsid w:val="00075AA9"/>
    <w:rsid w:val="00080E3F"/>
    <w:rsid w:val="00080E7F"/>
    <w:rsid w:val="00084113"/>
    <w:rsid w:val="00084C47"/>
    <w:rsid w:val="00086902"/>
    <w:rsid w:val="00090B4F"/>
    <w:rsid w:val="00091866"/>
    <w:rsid w:val="000960C4"/>
    <w:rsid w:val="000A2AAA"/>
    <w:rsid w:val="000A3EE6"/>
    <w:rsid w:val="000B4EEF"/>
    <w:rsid w:val="000C00EB"/>
    <w:rsid w:val="000C1869"/>
    <w:rsid w:val="000C36E5"/>
    <w:rsid w:val="000D5E37"/>
    <w:rsid w:val="000E10AB"/>
    <w:rsid w:val="000E1A4C"/>
    <w:rsid w:val="000E4ADE"/>
    <w:rsid w:val="000E72F9"/>
    <w:rsid w:val="000F15EE"/>
    <w:rsid w:val="000F26C1"/>
    <w:rsid w:val="00100C79"/>
    <w:rsid w:val="00103DE2"/>
    <w:rsid w:val="0010665E"/>
    <w:rsid w:val="00115725"/>
    <w:rsid w:val="00117758"/>
    <w:rsid w:val="00120341"/>
    <w:rsid w:val="00120B3B"/>
    <w:rsid w:val="00127D6C"/>
    <w:rsid w:val="00130ACA"/>
    <w:rsid w:val="0013488B"/>
    <w:rsid w:val="00135F41"/>
    <w:rsid w:val="001430D9"/>
    <w:rsid w:val="00143C6D"/>
    <w:rsid w:val="00147168"/>
    <w:rsid w:val="00162E5C"/>
    <w:rsid w:val="00164F91"/>
    <w:rsid w:val="001672E6"/>
    <w:rsid w:val="00170B42"/>
    <w:rsid w:val="001726F0"/>
    <w:rsid w:val="00175A42"/>
    <w:rsid w:val="00177800"/>
    <w:rsid w:val="001803B1"/>
    <w:rsid w:val="00180D6B"/>
    <w:rsid w:val="00183119"/>
    <w:rsid w:val="00183C94"/>
    <w:rsid w:val="001843DE"/>
    <w:rsid w:val="00190568"/>
    <w:rsid w:val="0019305F"/>
    <w:rsid w:val="001961A1"/>
    <w:rsid w:val="00196AC3"/>
    <w:rsid w:val="001A529E"/>
    <w:rsid w:val="001A5C2E"/>
    <w:rsid w:val="001A6CF2"/>
    <w:rsid w:val="001A7397"/>
    <w:rsid w:val="001B0C21"/>
    <w:rsid w:val="001B4802"/>
    <w:rsid w:val="001C0E83"/>
    <w:rsid w:val="001C1BBA"/>
    <w:rsid w:val="001C4055"/>
    <w:rsid w:val="001C7CD4"/>
    <w:rsid w:val="001D5F13"/>
    <w:rsid w:val="001E261F"/>
    <w:rsid w:val="001F1C87"/>
    <w:rsid w:val="001F3917"/>
    <w:rsid w:val="001F4B38"/>
    <w:rsid w:val="0020759C"/>
    <w:rsid w:val="002076CF"/>
    <w:rsid w:val="00210601"/>
    <w:rsid w:val="00211F4D"/>
    <w:rsid w:val="002157CB"/>
    <w:rsid w:val="00216555"/>
    <w:rsid w:val="002165DB"/>
    <w:rsid w:val="00221406"/>
    <w:rsid w:val="00222683"/>
    <w:rsid w:val="00236E36"/>
    <w:rsid w:val="00240590"/>
    <w:rsid w:val="00241951"/>
    <w:rsid w:val="00246D89"/>
    <w:rsid w:val="00254442"/>
    <w:rsid w:val="002556A6"/>
    <w:rsid w:val="0026115F"/>
    <w:rsid w:val="0026257A"/>
    <w:rsid w:val="00265766"/>
    <w:rsid w:val="00266D57"/>
    <w:rsid w:val="00267412"/>
    <w:rsid w:val="00270203"/>
    <w:rsid w:val="00271720"/>
    <w:rsid w:val="00277238"/>
    <w:rsid w:val="0027725E"/>
    <w:rsid w:val="00280E6F"/>
    <w:rsid w:val="002847FC"/>
    <w:rsid w:val="002904BE"/>
    <w:rsid w:val="002958D7"/>
    <w:rsid w:val="002A1150"/>
    <w:rsid w:val="002B33D5"/>
    <w:rsid w:val="002B3F43"/>
    <w:rsid w:val="002B4DD5"/>
    <w:rsid w:val="002B56F5"/>
    <w:rsid w:val="002C12B0"/>
    <w:rsid w:val="002D005E"/>
    <w:rsid w:val="002D02E1"/>
    <w:rsid w:val="002D0E50"/>
    <w:rsid w:val="002E2BCD"/>
    <w:rsid w:val="002E6AE2"/>
    <w:rsid w:val="002E70B6"/>
    <w:rsid w:val="002E7454"/>
    <w:rsid w:val="002F0A51"/>
    <w:rsid w:val="002F34EA"/>
    <w:rsid w:val="002F4F7F"/>
    <w:rsid w:val="002F513C"/>
    <w:rsid w:val="00306F9D"/>
    <w:rsid w:val="0031526E"/>
    <w:rsid w:val="003224EA"/>
    <w:rsid w:val="00326F26"/>
    <w:rsid w:val="003304A8"/>
    <w:rsid w:val="00344DAF"/>
    <w:rsid w:val="00345C10"/>
    <w:rsid w:val="00351908"/>
    <w:rsid w:val="00351D2B"/>
    <w:rsid w:val="003534E4"/>
    <w:rsid w:val="00355624"/>
    <w:rsid w:val="00371DDC"/>
    <w:rsid w:val="00372545"/>
    <w:rsid w:val="00392649"/>
    <w:rsid w:val="00394E19"/>
    <w:rsid w:val="003A205C"/>
    <w:rsid w:val="003A6711"/>
    <w:rsid w:val="003A699F"/>
    <w:rsid w:val="003A751D"/>
    <w:rsid w:val="003B035E"/>
    <w:rsid w:val="003B0C0E"/>
    <w:rsid w:val="003B78CE"/>
    <w:rsid w:val="003D05A2"/>
    <w:rsid w:val="003D1A4F"/>
    <w:rsid w:val="003D2E68"/>
    <w:rsid w:val="003F4320"/>
    <w:rsid w:val="004007BC"/>
    <w:rsid w:val="0040159B"/>
    <w:rsid w:val="004070D1"/>
    <w:rsid w:val="0042133D"/>
    <w:rsid w:val="00425E94"/>
    <w:rsid w:val="004309CB"/>
    <w:rsid w:val="00433476"/>
    <w:rsid w:val="00435A36"/>
    <w:rsid w:val="00441002"/>
    <w:rsid w:val="004549D6"/>
    <w:rsid w:val="00455D22"/>
    <w:rsid w:val="0046287E"/>
    <w:rsid w:val="00474F36"/>
    <w:rsid w:val="0047728E"/>
    <w:rsid w:val="0048303D"/>
    <w:rsid w:val="00483572"/>
    <w:rsid w:val="00487C7C"/>
    <w:rsid w:val="0049492A"/>
    <w:rsid w:val="00497722"/>
    <w:rsid w:val="004A273D"/>
    <w:rsid w:val="004A425C"/>
    <w:rsid w:val="004B090A"/>
    <w:rsid w:val="004C4919"/>
    <w:rsid w:val="004C5DE6"/>
    <w:rsid w:val="004C6155"/>
    <w:rsid w:val="004D0520"/>
    <w:rsid w:val="004D2768"/>
    <w:rsid w:val="004D4ED6"/>
    <w:rsid w:val="004D521B"/>
    <w:rsid w:val="004D5C44"/>
    <w:rsid w:val="004D61AB"/>
    <w:rsid w:val="004D63A5"/>
    <w:rsid w:val="004D6AF5"/>
    <w:rsid w:val="004E102C"/>
    <w:rsid w:val="004E646A"/>
    <w:rsid w:val="004F74B7"/>
    <w:rsid w:val="0050494C"/>
    <w:rsid w:val="00505848"/>
    <w:rsid w:val="00512753"/>
    <w:rsid w:val="00514795"/>
    <w:rsid w:val="00521BFC"/>
    <w:rsid w:val="00523F2B"/>
    <w:rsid w:val="0052526B"/>
    <w:rsid w:val="005256A0"/>
    <w:rsid w:val="00530E76"/>
    <w:rsid w:val="005317E5"/>
    <w:rsid w:val="0053198E"/>
    <w:rsid w:val="00534864"/>
    <w:rsid w:val="00534917"/>
    <w:rsid w:val="005350A5"/>
    <w:rsid w:val="00536682"/>
    <w:rsid w:val="005374BB"/>
    <w:rsid w:val="0054381B"/>
    <w:rsid w:val="005502C3"/>
    <w:rsid w:val="005517C7"/>
    <w:rsid w:val="00552C97"/>
    <w:rsid w:val="00557B4E"/>
    <w:rsid w:val="00560B80"/>
    <w:rsid w:val="00570442"/>
    <w:rsid w:val="00574873"/>
    <w:rsid w:val="00576C21"/>
    <w:rsid w:val="00584903"/>
    <w:rsid w:val="00584E7D"/>
    <w:rsid w:val="00585968"/>
    <w:rsid w:val="00591228"/>
    <w:rsid w:val="0059320D"/>
    <w:rsid w:val="005A090D"/>
    <w:rsid w:val="005A25A0"/>
    <w:rsid w:val="005C6485"/>
    <w:rsid w:val="005C74E7"/>
    <w:rsid w:val="005D2FEE"/>
    <w:rsid w:val="005E0F7C"/>
    <w:rsid w:val="005E21E9"/>
    <w:rsid w:val="005E3040"/>
    <w:rsid w:val="005E5BDA"/>
    <w:rsid w:val="005E67C9"/>
    <w:rsid w:val="005E6A00"/>
    <w:rsid w:val="005F20B8"/>
    <w:rsid w:val="005F30E5"/>
    <w:rsid w:val="00602955"/>
    <w:rsid w:val="00615915"/>
    <w:rsid w:val="00616356"/>
    <w:rsid w:val="006222A8"/>
    <w:rsid w:val="00622FE1"/>
    <w:rsid w:val="0062330A"/>
    <w:rsid w:val="006308D2"/>
    <w:rsid w:val="00636BAE"/>
    <w:rsid w:val="0064758F"/>
    <w:rsid w:val="00647B77"/>
    <w:rsid w:val="0065094D"/>
    <w:rsid w:val="00650AEA"/>
    <w:rsid w:val="006568EF"/>
    <w:rsid w:val="00657922"/>
    <w:rsid w:val="0066020E"/>
    <w:rsid w:val="006628D4"/>
    <w:rsid w:val="00663042"/>
    <w:rsid w:val="00670CDE"/>
    <w:rsid w:val="00671C08"/>
    <w:rsid w:val="00671ED7"/>
    <w:rsid w:val="00672E7D"/>
    <w:rsid w:val="006737F6"/>
    <w:rsid w:val="00680391"/>
    <w:rsid w:val="006817D2"/>
    <w:rsid w:val="006821D1"/>
    <w:rsid w:val="00682A09"/>
    <w:rsid w:val="00693614"/>
    <w:rsid w:val="0069600E"/>
    <w:rsid w:val="0069635D"/>
    <w:rsid w:val="006A5646"/>
    <w:rsid w:val="006B12AF"/>
    <w:rsid w:val="006B28DB"/>
    <w:rsid w:val="006B3EDF"/>
    <w:rsid w:val="006B5B2A"/>
    <w:rsid w:val="006B7BAF"/>
    <w:rsid w:val="006C171A"/>
    <w:rsid w:val="006C5123"/>
    <w:rsid w:val="006C72AA"/>
    <w:rsid w:val="006D078F"/>
    <w:rsid w:val="006E4C87"/>
    <w:rsid w:val="006E5A2B"/>
    <w:rsid w:val="006E6873"/>
    <w:rsid w:val="006F1D6C"/>
    <w:rsid w:val="006F2713"/>
    <w:rsid w:val="006F4FE7"/>
    <w:rsid w:val="00701EE8"/>
    <w:rsid w:val="00706B98"/>
    <w:rsid w:val="0070799C"/>
    <w:rsid w:val="00711102"/>
    <w:rsid w:val="00716F7D"/>
    <w:rsid w:val="00724752"/>
    <w:rsid w:val="007275F2"/>
    <w:rsid w:val="00734B38"/>
    <w:rsid w:val="0073756B"/>
    <w:rsid w:val="00741246"/>
    <w:rsid w:val="0075134E"/>
    <w:rsid w:val="00760531"/>
    <w:rsid w:val="00760B39"/>
    <w:rsid w:val="007646FD"/>
    <w:rsid w:val="00767CF7"/>
    <w:rsid w:val="00770378"/>
    <w:rsid w:val="00771F93"/>
    <w:rsid w:val="0077576E"/>
    <w:rsid w:val="00777DC4"/>
    <w:rsid w:val="007800A5"/>
    <w:rsid w:val="00782C41"/>
    <w:rsid w:val="00783369"/>
    <w:rsid w:val="00783B7A"/>
    <w:rsid w:val="00784E23"/>
    <w:rsid w:val="00791096"/>
    <w:rsid w:val="007924D7"/>
    <w:rsid w:val="00797D19"/>
    <w:rsid w:val="007A52D7"/>
    <w:rsid w:val="007B1ED9"/>
    <w:rsid w:val="007B62F4"/>
    <w:rsid w:val="007C0BF5"/>
    <w:rsid w:val="007E02A7"/>
    <w:rsid w:val="007E1F32"/>
    <w:rsid w:val="007E323D"/>
    <w:rsid w:val="007F354C"/>
    <w:rsid w:val="007F59B8"/>
    <w:rsid w:val="00810A01"/>
    <w:rsid w:val="008119FA"/>
    <w:rsid w:val="0081253A"/>
    <w:rsid w:val="00813957"/>
    <w:rsid w:val="008212C6"/>
    <w:rsid w:val="008213FD"/>
    <w:rsid w:val="00822C8C"/>
    <w:rsid w:val="0082489E"/>
    <w:rsid w:val="00825FD9"/>
    <w:rsid w:val="0083669D"/>
    <w:rsid w:val="00844D66"/>
    <w:rsid w:val="00847A61"/>
    <w:rsid w:val="00847B79"/>
    <w:rsid w:val="00852AE4"/>
    <w:rsid w:val="008532F5"/>
    <w:rsid w:val="00856081"/>
    <w:rsid w:val="00861964"/>
    <w:rsid w:val="00862AF0"/>
    <w:rsid w:val="0086617D"/>
    <w:rsid w:val="0086645D"/>
    <w:rsid w:val="008703CE"/>
    <w:rsid w:val="0088405B"/>
    <w:rsid w:val="00895013"/>
    <w:rsid w:val="0089783B"/>
    <w:rsid w:val="008B505D"/>
    <w:rsid w:val="008B6EB4"/>
    <w:rsid w:val="008C0CA2"/>
    <w:rsid w:val="008C4540"/>
    <w:rsid w:val="008C78A6"/>
    <w:rsid w:val="008D1569"/>
    <w:rsid w:val="008D3A34"/>
    <w:rsid w:val="008E538A"/>
    <w:rsid w:val="00903337"/>
    <w:rsid w:val="00903CA3"/>
    <w:rsid w:val="00903CBA"/>
    <w:rsid w:val="009054C2"/>
    <w:rsid w:val="00911303"/>
    <w:rsid w:val="00913907"/>
    <w:rsid w:val="009173C7"/>
    <w:rsid w:val="00920FAA"/>
    <w:rsid w:val="00924EAF"/>
    <w:rsid w:val="009255E5"/>
    <w:rsid w:val="00931CDD"/>
    <w:rsid w:val="0093573C"/>
    <w:rsid w:val="0093603A"/>
    <w:rsid w:val="009370BA"/>
    <w:rsid w:val="009374F5"/>
    <w:rsid w:val="00947C90"/>
    <w:rsid w:val="00961219"/>
    <w:rsid w:val="00977D25"/>
    <w:rsid w:val="009833E6"/>
    <w:rsid w:val="00986647"/>
    <w:rsid w:val="00992510"/>
    <w:rsid w:val="00994BA9"/>
    <w:rsid w:val="009A3E32"/>
    <w:rsid w:val="009A4D4E"/>
    <w:rsid w:val="009A6218"/>
    <w:rsid w:val="009A79B2"/>
    <w:rsid w:val="009B0525"/>
    <w:rsid w:val="009B3A13"/>
    <w:rsid w:val="009B3E14"/>
    <w:rsid w:val="009B4A65"/>
    <w:rsid w:val="009C0108"/>
    <w:rsid w:val="009C43A7"/>
    <w:rsid w:val="009C50A2"/>
    <w:rsid w:val="009C6282"/>
    <w:rsid w:val="009C7781"/>
    <w:rsid w:val="009E2BAD"/>
    <w:rsid w:val="009E50D2"/>
    <w:rsid w:val="009F47C2"/>
    <w:rsid w:val="009F60BF"/>
    <w:rsid w:val="00A01E4A"/>
    <w:rsid w:val="00A05D72"/>
    <w:rsid w:val="00A07266"/>
    <w:rsid w:val="00A1044D"/>
    <w:rsid w:val="00A114CE"/>
    <w:rsid w:val="00A12374"/>
    <w:rsid w:val="00A14CC1"/>
    <w:rsid w:val="00A231CA"/>
    <w:rsid w:val="00A23B9E"/>
    <w:rsid w:val="00A25F3A"/>
    <w:rsid w:val="00A34CC9"/>
    <w:rsid w:val="00A36B9D"/>
    <w:rsid w:val="00A379BE"/>
    <w:rsid w:val="00A40D3E"/>
    <w:rsid w:val="00A45031"/>
    <w:rsid w:val="00A631AC"/>
    <w:rsid w:val="00A65CD6"/>
    <w:rsid w:val="00A679A1"/>
    <w:rsid w:val="00A709A9"/>
    <w:rsid w:val="00A80CC0"/>
    <w:rsid w:val="00A814BC"/>
    <w:rsid w:val="00A8504D"/>
    <w:rsid w:val="00A87A61"/>
    <w:rsid w:val="00A917D8"/>
    <w:rsid w:val="00AA2917"/>
    <w:rsid w:val="00AA3448"/>
    <w:rsid w:val="00AA5357"/>
    <w:rsid w:val="00AA6712"/>
    <w:rsid w:val="00AA7238"/>
    <w:rsid w:val="00AB0B22"/>
    <w:rsid w:val="00AB4EE8"/>
    <w:rsid w:val="00AB5A44"/>
    <w:rsid w:val="00AC29C3"/>
    <w:rsid w:val="00AC334B"/>
    <w:rsid w:val="00AC3F7A"/>
    <w:rsid w:val="00AC7A13"/>
    <w:rsid w:val="00AD02D7"/>
    <w:rsid w:val="00AD14B2"/>
    <w:rsid w:val="00AD2B04"/>
    <w:rsid w:val="00AE3231"/>
    <w:rsid w:val="00AE346A"/>
    <w:rsid w:val="00AE3A43"/>
    <w:rsid w:val="00AE40EC"/>
    <w:rsid w:val="00AE5B1E"/>
    <w:rsid w:val="00AF5650"/>
    <w:rsid w:val="00B0237C"/>
    <w:rsid w:val="00B02556"/>
    <w:rsid w:val="00B129B1"/>
    <w:rsid w:val="00B137FE"/>
    <w:rsid w:val="00B14D68"/>
    <w:rsid w:val="00B2213B"/>
    <w:rsid w:val="00B22B7A"/>
    <w:rsid w:val="00B243E2"/>
    <w:rsid w:val="00B267D0"/>
    <w:rsid w:val="00B27550"/>
    <w:rsid w:val="00B321BB"/>
    <w:rsid w:val="00B36F4F"/>
    <w:rsid w:val="00B43766"/>
    <w:rsid w:val="00B514E7"/>
    <w:rsid w:val="00B627E1"/>
    <w:rsid w:val="00B66FD6"/>
    <w:rsid w:val="00B67A50"/>
    <w:rsid w:val="00B67D55"/>
    <w:rsid w:val="00B721C6"/>
    <w:rsid w:val="00B738B6"/>
    <w:rsid w:val="00B74285"/>
    <w:rsid w:val="00B832CA"/>
    <w:rsid w:val="00B86815"/>
    <w:rsid w:val="00B9037B"/>
    <w:rsid w:val="00B91B71"/>
    <w:rsid w:val="00B94C44"/>
    <w:rsid w:val="00BA0A4E"/>
    <w:rsid w:val="00BB7F3E"/>
    <w:rsid w:val="00BC0A7F"/>
    <w:rsid w:val="00BC4480"/>
    <w:rsid w:val="00BC7B92"/>
    <w:rsid w:val="00BD25DB"/>
    <w:rsid w:val="00BD4AB3"/>
    <w:rsid w:val="00BD53A2"/>
    <w:rsid w:val="00BD6134"/>
    <w:rsid w:val="00BD6BB8"/>
    <w:rsid w:val="00BE1F79"/>
    <w:rsid w:val="00BE6CC3"/>
    <w:rsid w:val="00BF35FE"/>
    <w:rsid w:val="00BF5048"/>
    <w:rsid w:val="00C139F1"/>
    <w:rsid w:val="00C16C12"/>
    <w:rsid w:val="00C22820"/>
    <w:rsid w:val="00C26086"/>
    <w:rsid w:val="00C26371"/>
    <w:rsid w:val="00C273EE"/>
    <w:rsid w:val="00C33897"/>
    <w:rsid w:val="00C3517B"/>
    <w:rsid w:val="00C36D23"/>
    <w:rsid w:val="00C413BA"/>
    <w:rsid w:val="00C57E0F"/>
    <w:rsid w:val="00C601DA"/>
    <w:rsid w:val="00C720A4"/>
    <w:rsid w:val="00C8029C"/>
    <w:rsid w:val="00C80C25"/>
    <w:rsid w:val="00C91D22"/>
    <w:rsid w:val="00CA3E8A"/>
    <w:rsid w:val="00CA4FA7"/>
    <w:rsid w:val="00CA598E"/>
    <w:rsid w:val="00CA727F"/>
    <w:rsid w:val="00CB4F17"/>
    <w:rsid w:val="00CB79AF"/>
    <w:rsid w:val="00CC6684"/>
    <w:rsid w:val="00CD3E07"/>
    <w:rsid w:val="00CF410F"/>
    <w:rsid w:val="00CF4C3C"/>
    <w:rsid w:val="00CF6A07"/>
    <w:rsid w:val="00D0201D"/>
    <w:rsid w:val="00D101A6"/>
    <w:rsid w:val="00D11057"/>
    <w:rsid w:val="00D35478"/>
    <w:rsid w:val="00D35C16"/>
    <w:rsid w:val="00D4013B"/>
    <w:rsid w:val="00D41688"/>
    <w:rsid w:val="00D43EF1"/>
    <w:rsid w:val="00D50123"/>
    <w:rsid w:val="00D569C7"/>
    <w:rsid w:val="00D56E55"/>
    <w:rsid w:val="00D61E52"/>
    <w:rsid w:val="00D63250"/>
    <w:rsid w:val="00D704B6"/>
    <w:rsid w:val="00D71156"/>
    <w:rsid w:val="00D71742"/>
    <w:rsid w:val="00D860A4"/>
    <w:rsid w:val="00D90664"/>
    <w:rsid w:val="00D97D33"/>
    <w:rsid w:val="00DA2D2D"/>
    <w:rsid w:val="00DA3EB9"/>
    <w:rsid w:val="00DB0234"/>
    <w:rsid w:val="00DB6205"/>
    <w:rsid w:val="00DC2662"/>
    <w:rsid w:val="00DC5409"/>
    <w:rsid w:val="00DC6856"/>
    <w:rsid w:val="00DE4160"/>
    <w:rsid w:val="00DE4FB6"/>
    <w:rsid w:val="00DF0369"/>
    <w:rsid w:val="00DF35A3"/>
    <w:rsid w:val="00DF6C9A"/>
    <w:rsid w:val="00E11866"/>
    <w:rsid w:val="00E11A9C"/>
    <w:rsid w:val="00E13AD7"/>
    <w:rsid w:val="00E17615"/>
    <w:rsid w:val="00E17BEA"/>
    <w:rsid w:val="00E17DB6"/>
    <w:rsid w:val="00E2192F"/>
    <w:rsid w:val="00E266FE"/>
    <w:rsid w:val="00E4128D"/>
    <w:rsid w:val="00E47BFA"/>
    <w:rsid w:val="00E52E64"/>
    <w:rsid w:val="00E55607"/>
    <w:rsid w:val="00E5697F"/>
    <w:rsid w:val="00E56D66"/>
    <w:rsid w:val="00E57783"/>
    <w:rsid w:val="00E607AB"/>
    <w:rsid w:val="00E62DFB"/>
    <w:rsid w:val="00E6394B"/>
    <w:rsid w:val="00E77A2F"/>
    <w:rsid w:val="00E80511"/>
    <w:rsid w:val="00E81F37"/>
    <w:rsid w:val="00E83D0E"/>
    <w:rsid w:val="00E83F84"/>
    <w:rsid w:val="00E86544"/>
    <w:rsid w:val="00E86A9D"/>
    <w:rsid w:val="00E87D9D"/>
    <w:rsid w:val="00E90C20"/>
    <w:rsid w:val="00E94F66"/>
    <w:rsid w:val="00E950BD"/>
    <w:rsid w:val="00EA00F6"/>
    <w:rsid w:val="00EB033C"/>
    <w:rsid w:val="00EB0ADD"/>
    <w:rsid w:val="00EB5603"/>
    <w:rsid w:val="00EB76ED"/>
    <w:rsid w:val="00EB7C71"/>
    <w:rsid w:val="00EC5061"/>
    <w:rsid w:val="00EF10E0"/>
    <w:rsid w:val="00EF216A"/>
    <w:rsid w:val="00EF4BA5"/>
    <w:rsid w:val="00F03B57"/>
    <w:rsid w:val="00F15339"/>
    <w:rsid w:val="00F17877"/>
    <w:rsid w:val="00F21B1E"/>
    <w:rsid w:val="00F233B6"/>
    <w:rsid w:val="00F23468"/>
    <w:rsid w:val="00F239B8"/>
    <w:rsid w:val="00F3044B"/>
    <w:rsid w:val="00F30D95"/>
    <w:rsid w:val="00F41F63"/>
    <w:rsid w:val="00F446F4"/>
    <w:rsid w:val="00F50E2F"/>
    <w:rsid w:val="00F53130"/>
    <w:rsid w:val="00F54D96"/>
    <w:rsid w:val="00F61076"/>
    <w:rsid w:val="00F66FAC"/>
    <w:rsid w:val="00F71059"/>
    <w:rsid w:val="00F74400"/>
    <w:rsid w:val="00F75252"/>
    <w:rsid w:val="00F753FF"/>
    <w:rsid w:val="00F77097"/>
    <w:rsid w:val="00F8368A"/>
    <w:rsid w:val="00F840A3"/>
    <w:rsid w:val="00F8485C"/>
    <w:rsid w:val="00FA55D8"/>
    <w:rsid w:val="00FB77C6"/>
    <w:rsid w:val="00FC7DF8"/>
    <w:rsid w:val="00FD2706"/>
    <w:rsid w:val="00FD30A8"/>
    <w:rsid w:val="00FD3C7F"/>
    <w:rsid w:val="00FD523C"/>
    <w:rsid w:val="00FD7D5B"/>
    <w:rsid w:val="00FE7023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0A5"/>
    <w:pPr>
      <w:bidi/>
      <w:spacing w:line="360" w:lineRule="auto"/>
      <w:ind w:firstLine="284"/>
      <w:jc w:val="both"/>
    </w:pPr>
    <w:rPr>
      <w:rFonts w:cs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B36F4F"/>
    <w:pPr>
      <w:spacing w:after="0" w:line="240" w:lineRule="auto"/>
    </w:pPr>
    <w:rPr>
      <w:rFonts w:ascii="Traditional Arabic" w:hAnsi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B36F4F"/>
    <w:rPr>
      <w:rFonts w:ascii="Traditional Arabic" w:hAnsi="Traditional Arabic" w:cstheme="minorHAns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177</cp:revision>
  <cp:lastPrinted>2023-01-08T08:05:00Z</cp:lastPrinted>
  <dcterms:created xsi:type="dcterms:W3CDTF">2023-01-09T06:10:00Z</dcterms:created>
  <dcterms:modified xsi:type="dcterms:W3CDTF">2023-01-15T06:33:00Z</dcterms:modified>
  <dc:language>العربية</dc:language>
</cp:coreProperties>
</file>