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hint="cs"/>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10781777"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6A28EABF" w14:textId="47FAF668" w:rsidR="001E0BD5" w:rsidRPr="001E0BD5" w:rsidRDefault="001E0BD5" w:rsidP="00F44B2D">
      <w:pPr>
        <w:rPr>
          <w:b/>
          <w:bCs/>
          <w:sz w:val="24"/>
          <w:szCs w:val="24"/>
          <w:rtl/>
        </w:rPr>
      </w:pPr>
      <w:r w:rsidRPr="001E0BD5">
        <w:rPr>
          <w:rFonts w:hint="cs"/>
          <w:b/>
          <w:bCs/>
          <w:sz w:val="24"/>
          <w:szCs w:val="24"/>
          <w:rtl/>
        </w:rPr>
        <w:t>خلاصة ال</w:t>
      </w:r>
      <w:r>
        <w:rPr>
          <w:rFonts w:hint="cs"/>
          <w:b/>
          <w:bCs/>
          <w:sz w:val="24"/>
          <w:szCs w:val="24"/>
          <w:rtl/>
        </w:rPr>
        <w:t>أ</w:t>
      </w:r>
      <w:r w:rsidRPr="001E0BD5">
        <w:rPr>
          <w:rFonts w:hint="cs"/>
          <w:b/>
          <w:bCs/>
          <w:sz w:val="24"/>
          <w:szCs w:val="24"/>
          <w:rtl/>
        </w:rPr>
        <w:t>بح</w:t>
      </w:r>
      <w:r>
        <w:rPr>
          <w:rFonts w:hint="cs"/>
          <w:b/>
          <w:bCs/>
          <w:sz w:val="24"/>
          <w:szCs w:val="24"/>
          <w:rtl/>
        </w:rPr>
        <w:t>ا</w:t>
      </w:r>
      <w:r w:rsidRPr="001E0BD5">
        <w:rPr>
          <w:rFonts w:hint="cs"/>
          <w:b/>
          <w:bCs/>
          <w:sz w:val="24"/>
          <w:szCs w:val="24"/>
          <w:rtl/>
        </w:rPr>
        <w:t>ث السابق</w:t>
      </w:r>
      <w:r>
        <w:rPr>
          <w:rFonts w:hint="cs"/>
          <w:b/>
          <w:bCs/>
          <w:sz w:val="24"/>
          <w:szCs w:val="24"/>
          <w:rtl/>
        </w:rPr>
        <w:t>ة</w:t>
      </w:r>
    </w:p>
    <w:p w14:paraId="7742CDBD" w14:textId="2FE0BC4E" w:rsidR="00417E69" w:rsidRDefault="00417E69" w:rsidP="00417E69">
      <w:pPr>
        <w:rPr>
          <w:rtl/>
        </w:rPr>
      </w:pPr>
      <w:r>
        <w:rPr>
          <w:rFonts w:cs="Calibri"/>
          <w:rtl/>
        </w:rPr>
        <w:t>قلنا إنّ للمحقّق النائينيّ بيانا</w:t>
      </w:r>
      <w:r>
        <w:rPr>
          <w:rFonts w:cs="Calibri" w:hint="cs"/>
          <w:rtl/>
        </w:rPr>
        <w:t>ً</w:t>
      </w:r>
      <w:r>
        <w:rPr>
          <w:rFonts w:cs="Calibri"/>
          <w:rtl/>
        </w:rPr>
        <w:t xml:space="preserve"> جديدا</w:t>
      </w:r>
      <w:r>
        <w:rPr>
          <w:rFonts w:cs="Calibri" w:hint="cs"/>
          <w:rtl/>
        </w:rPr>
        <w:t>ً</w:t>
      </w:r>
      <w:r>
        <w:rPr>
          <w:rFonts w:cs="Calibri"/>
          <w:rtl/>
        </w:rPr>
        <w:t xml:space="preserve"> يختلف عن البيانات السابقة لإثبات عدم وجوب الاجتناب عن الثوب الملاقي لأحد طرفي العلم الإجماليّ. فإذا كان لدينا علم إجماليّ بنجاسة إمّا ألف أو باء والثوب لاقى ألف فقالوا بانحلال هذا العلم الإجماليّ أو بشيء من الأشكال فيسقط ولا يجب حينئذ الاجتناب عنه لجريان البراءة عنه.</w:t>
      </w:r>
    </w:p>
    <w:p w14:paraId="041E9441" w14:textId="77777777" w:rsidR="00FB5E44" w:rsidRDefault="00417E69" w:rsidP="00417E69">
      <w:pPr>
        <w:rPr>
          <w:rFonts w:cs="Calibri"/>
          <w:rtl/>
        </w:rPr>
      </w:pPr>
      <w:r>
        <w:rPr>
          <w:rFonts w:cs="Calibri"/>
          <w:rtl/>
        </w:rPr>
        <w:t>و</w:t>
      </w:r>
      <w:r w:rsidR="00AF0AC7">
        <w:rPr>
          <w:rFonts w:cs="Calibri" w:hint="cs"/>
          <w:rtl/>
        </w:rPr>
        <w:t>قلنا بأنّه توجد</w:t>
      </w:r>
      <w:r>
        <w:rPr>
          <w:rFonts w:cs="Calibri"/>
          <w:rtl/>
        </w:rPr>
        <w:t xml:space="preserve"> </w:t>
      </w:r>
      <w:proofErr w:type="gramStart"/>
      <w:r>
        <w:rPr>
          <w:rFonts w:cs="Calibri"/>
          <w:rtl/>
        </w:rPr>
        <w:t>أربعة</w:t>
      </w:r>
      <w:proofErr w:type="gramEnd"/>
      <w:r>
        <w:rPr>
          <w:rFonts w:cs="Calibri"/>
          <w:rtl/>
        </w:rPr>
        <w:t xml:space="preserve"> بيانات</w:t>
      </w:r>
      <w:r w:rsidR="00AF0AC7">
        <w:rPr>
          <w:rFonts w:cs="Calibri" w:hint="cs"/>
          <w:rtl/>
        </w:rPr>
        <w:t xml:space="preserve"> لإثبات رأيهم،</w:t>
      </w:r>
      <w:r>
        <w:rPr>
          <w:rFonts w:cs="Calibri"/>
          <w:rtl/>
        </w:rPr>
        <w:t xml:space="preserve"> والبيان الرابع</w:t>
      </w:r>
      <w:r w:rsidR="00AF0AC7">
        <w:rPr>
          <w:rFonts w:cs="Calibri" w:hint="cs"/>
          <w:rtl/>
        </w:rPr>
        <w:t xml:space="preserve"> للمحقّق النائينيّ</w:t>
      </w:r>
      <w:r w:rsidR="00FA222D">
        <w:rPr>
          <w:rFonts w:cs="Calibri" w:hint="cs"/>
          <w:rtl/>
        </w:rPr>
        <w:t>،</w:t>
      </w:r>
      <w:r>
        <w:rPr>
          <w:rFonts w:cs="Calibri"/>
          <w:rtl/>
        </w:rPr>
        <w:t xml:space="preserve"> وقلنا إنّ بيانه يبتني على أربعة مبان</w:t>
      </w:r>
      <w:r w:rsidR="00FB5E44">
        <w:rPr>
          <w:rFonts w:cs="Calibri" w:hint="cs"/>
          <w:rtl/>
        </w:rPr>
        <w:t>ي:</w:t>
      </w:r>
      <w:r>
        <w:rPr>
          <w:rFonts w:cs="Calibri"/>
          <w:rtl/>
        </w:rPr>
        <w:t xml:space="preserve"> </w:t>
      </w:r>
    </w:p>
    <w:p w14:paraId="58DBC438" w14:textId="61612DD3" w:rsidR="00417E69" w:rsidRDefault="00FB5E44" w:rsidP="00417E69">
      <w:pPr>
        <w:rPr>
          <w:rtl/>
        </w:rPr>
      </w:pPr>
      <w:r>
        <w:rPr>
          <w:rFonts w:cs="Calibri" w:hint="cs"/>
          <w:rtl/>
        </w:rPr>
        <w:t>المبنى الأوّل</w:t>
      </w:r>
      <w:r w:rsidR="00417E69">
        <w:rPr>
          <w:rFonts w:cs="Calibri"/>
          <w:rtl/>
        </w:rPr>
        <w:t>: دعوى انحلال العلم الإجماليّ بقيام منجّز سابق في أحد طرفيه، علما</w:t>
      </w:r>
      <w:r>
        <w:rPr>
          <w:rFonts w:cs="Calibri" w:hint="cs"/>
          <w:rtl/>
        </w:rPr>
        <w:t>ً</w:t>
      </w:r>
      <w:r w:rsidR="00417E69">
        <w:rPr>
          <w:rFonts w:cs="Calibri"/>
          <w:rtl/>
        </w:rPr>
        <w:t xml:space="preserve"> إجماليّا</w:t>
      </w:r>
      <w:r>
        <w:rPr>
          <w:rFonts w:cs="Calibri" w:hint="cs"/>
          <w:rtl/>
        </w:rPr>
        <w:t>ً</w:t>
      </w:r>
      <w:r w:rsidR="00417E69">
        <w:rPr>
          <w:rFonts w:cs="Calibri"/>
          <w:rtl/>
        </w:rPr>
        <w:t xml:space="preserve"> كان أو أمارة منجّزة.</w:t>
      </w:r>
    </w:p>
    <w:p w14:paraId="02037C3A" w14:textId="42C38B91" w:rsidR="00417E69" w:rsidRDefault="00417E69" w:rsidP="00417E69">
      <w:pPr>
        <w:rPr>
          <w:rtl/>
        </w:rPr>
      </w:pPr>
      <w:r>
        <w:rPr>
          <w:rFonts w:cs="Calibri"/>
          <w:rtl/>
        </w:rPr>
        <w:t>والمبنى الثاني</w:t>
      </w:r>
      <w:r w:rsidR="00D13946">
        <w:rPr>
          <w:rFonts w:cs="Calibri" w:hint="cs"/>
          <w:rtl/>
        </w:rPr>
        <w:t>:</w:t>
      </w:r>
      <w:r>
        <w:rPr>
          <w:rFonts w:cs="Calibri"/>
          <w:rtl/>
        </w:rPr>
        <w:t xml:space="preserve"> تعميم هذه الدعوى لفرض كون ذلك المنجّز علما</w:t>
      </w:r>
      <w:r w:rsidR="00D13946">
        <w:rPr>
          <w:rFonts w:cs="Calibri" w:hint="cs"/>
          <w:rtl/>
        </w:rPr>
        <w:t>ً</w:t>
      </w:r>
      <w:r>
        <w:rPr>
          <w:rFonts w:cs="Calibri"/>
          <w:rtl/>
        </w:rPr>
        <w:t xml:space="preserve"> إجماليّا</w:t>
      </w:r>
      <w:r w:rsidR="00D13946">
        <w:rPr>
          <w:rFonts w:cs="Calibri" w:hint="cs"/>
          <w:rtl/>
        </w:rPr>
        <w:t>ً</w:t>
      </w:r>
      <w:r>
        <w:rPr>
          <w:rFonts w:cs="Calibri"/>
          <w:rtl/>
        </w:rPr>
        <w:t xml:space="preserve"> نجّز أحد طرفي العلم الإجماليّ الثاني.</w:t>
      </w:r>
    </w:p>
    <w:p w14:paraId="5AC1756A" w14:textId="5A09CE69" w:rsidR="00417E69" w:rsidRDefault="00417E69" w:rsidP="00417E69">
      <w:pPr>
        <w:rPr>
          <w:rtl/>
        </w:rPr>
      </w:pPr>
      <w:r>
        <w:rPr>
          <w:rFonts w:cs="Calibri"/>
          <w:rtl/>
        </w:rPr>
        <w:t>و</w:t>
      </w:r>
      <w:r w:rsidR="00175320">
        <w:rPr>
          <w:rFonts w:cs="Calibri" w:hint="cs"/>
          <w:rtl/>
        </w:rPr>
        <w:t xml:space="preserve">المبنى </w:t>
      </w:r>
      <w:r>
        <w:rPr>
          <w:rFonts w:cs="Calibri"/>
          <w:rtl/>
        </w:rPr>
        <w:t>الثالث</w:t>
      </w:r>
      <w:r w:rsidR="00175320">
        <w:rPr>
          <w:rFonts w:cs="Calibri" w:hint="cs"/>
          <w:rtl/>
        </w:rPr>
        <w:t>:</w:t>
      </w:r>
      <w:r>
        <w:rPr>
          <w:rFonts w:cs="Calibri"/>
          <w:rtl/>
        </w:rPr>
        <w:t xml:space="preserve"> كون العبرة بالتقدّم والتأخّر في المعلومين لا في العلمين</w:t>
      </w:r>
      <w:r w:rsidR="00FE649B">
        <w:rPr>
          <w:rFonts w:cs="Calibri" w:hint="cs"/>
          <w:rtl/>
        </w:rPr>
        <w:t>،</w:t>
      </w:r>
      <w:r>
        <w:rPr>
          <w:rFonts w:cs="Calibri"/>
          <w:rtl/>
        </w:rPr>
        <w:t xml:space="preserve"> كما أصرّ عليه المحقّق النائينيّ.</w:t>
      </w:r>
    </w:p>
    <w:p w14:paraId="4AC25421" w14:textId="19327C77" w:rsidR="00417E69" w:rsidRDefault="00417E69" w:rsidP="00417E69">
      <w:pPr>
        <w:rPr>
          <w:rtl/>
        </w:rPr>
      </w:pPr>
      <w:r>
        <w:rPr>
          <w:rFonts w:cs="Calibri"/>
          <w:rtl/>
        </w:rPr>
        <w:t>و</w:t>
      </w:r>
      <w:r w:rsidR="00FB31C6">
        <w:rPr>
          <w:rFonts w:cs="Calibri" w:hint="cs"/>
          <w:rtl/>
        </w:rPr>
        <w:t>المبنى الرابع:</w:t>
      </w:r>
      <w:r>
        <w:rPr>
          <w:rFonts w:cs="Calibri"/>
          <w:rtl/>
        </w:rPr>
        <w:t xml:space="preserve"> تعميم التقدّم والتأخّر</w:t>
      </w:r>
      <w:r w:rsidR="00FB31C6">
        <w:rPr>
          <w:rFonts w:cs="Calibri" w:hint="cs"/>
          <w:rtl/>
        </w:rPr>
        <w:t>،</w:t>
      </w:r>
      <w:r>
        <w:rPr>
          <w:rFonts w:cs="Calibri"/>
          <w:rtl/>
        </w:rPr>
        <w:t xml:space="preserve"> للتقدّم والتأخّر الرتبيّين</w:t>
      </w:r>
      <w:r w:rsidR="00FB31C6">
        <w:rPr>
          <w:rFonts w:cs="Calibri" w:hint="cs"/>
          <w:rtl/>
        </w:rPr>
        <w:t>،</w:t>
      </w:r>
      <w:r>
        <w:rPr>
          <w:rFonts w:cs="Calibri"/>
          <w:rtl/>
        </w:rPr>
        <w:t xml:space="preserve"> لا فقط الزمانيّين.</w:t>
      </w:r>
    </w:p>
    <w:p w14:paraId="1C2240B2" w14:textId="60EB2222" w:rsidR="00417E69" w:rsidRDefault="00417E69" w:rsidP="00417E69">
      <w:pPr>
        <w:rPr>
          <w:rtl/>
        </w:rPr>
      </w:pPr>
      <w:r>
        <w:rPr>
          <w:rFonts w:cs="Calibri"/>
          <w:rtl/>
        </w:rPr>
        <w:t>وصرنا بصدد مناقشة هذه الأربعة.</w:t>
      </w:r>
    </w:p>
    <w:p w14:paraId="3789564F" w14:textId="2E1A8C23" w:rsidR="00BF2108" w:rsidRPr="00BF2108" w:rsidRDefault="00BF2108" w:rsidP="00417E69">
      <w:pPr>
        <w:rPr>
          <w:rFonts w:hint="cs"/>
          <w:b/>
          <w:bCs/>
          <w:sz w:val="24"/>
          <w:szCs w:val="24"/>
          <w:rtl/>
        </w:rPr>
      </w:pPr>
      <w:r w:rsidRPr="00BF2108">
        <w:rPr>
          <w:rFonts w:hint="cs"/>
          <w:b/>
          <w:bCs/>
          <w:sz w:val="24"/>
          <w:szCs w:val="24"/>
          <w:rtl/>
        </w:rPr>
        <w:t>تكملة المناقشة الأولى</w:t>
      </w:r>
    </w:p>
    <w:p w14:paraId="6918A3CF" w14:textId="408B9B68" w:rsidR="00417E69" w:rsidRDefault="00417E69" w:rsidP="00417E69">
      <w:pPr>
        <w:rPr>
          <w:rtl/>
        </w:rPr>
      </w:pPr>
      <w:r>
        <w:rPr>
          <w:rFonts w:cs="Calibri"/>
          <w:rtl/>
        </w:rPr>
        <w:t>ف</w:t>
      </w:r>
      <w:r w:rsidR="008B5146">
        <w:rPr>
          <w:rFonts w:cs="Calibri" w:hint="cs"/>
          <w:rtl/>
        </w:rPr>
        <w:t xml:space="preserve">في </w:t>
      </w:r>
      <w:r>
        <w:rPr>
          <w:rFonts w:cs="Calibri"/>
          <w:rtl/>
        </w:rPr>
        <w:t xml:space="preserve">المناقشة الأولى قال أستاذنا الشهيد </w:t>
      </w:r>
      <w:r w:rsidR="008B5146">
        <w:rPr>
          <w:rFonts w:cs="Calibri" w:hint="cs"/>
          <w:rtl/>
        </w:rPr>
        <w:t>ب</w:t>
      </w:r>
      <w:r>
        <w:rPr>
          <w:rFonts w:cs="Calibri"/>
          <w:rtl/>
        </w:rPr>
        <w:t>أنّا لا نوافق هذه القاعدة العامّة في المبنى الأوّل؛ لما سبق في التنبيه الخامس</w:t>
      </w:r>
      <w:r w:rsidR="00E22FE8">
        <w:rPr>
          <w:rStyle w:val="a5"/>
          <w:rFonts w:cs="Calibri"/>
          <w:rtl/>
        </w:rPr>
        <w:footnoteReference w:id="1"/>
      </w:r>
      <w:r>
        <w:rPr>
          <w:rFonts w:cs="Calibri"/>
          <w:rtl/>
        </w:rPr>
        <w:t>. ووجدنا نحن فيه الإشارة إلى التنبي</w:t>
      </w:r>
      <w:r w:rsidR="0008501A">
        <w:rPr>
          <w:rFonts w:cs="Calibri" w:hint="cs"/>
          <w:rtl/>
        </w:rPr>
        <w:t>ه</w:t>
      </w:r>
      <w:r>
        <w:rPr>
          <w:rFonts w:cs="Calibri"/>
          <w:rtl/>
        </w:rPr>
        <w:t xml:space="preserve"> الثاني</w:t>
      </w:r>
      <w:r w:rsidR="00BF2108">
        <w:rPr>
          <w:rFonts w:cs="Calibri" w:hint="cs"/>
          <w:rtl/>
        </w:rPr>
        <w:t>،</w:t>
      </w:r>
      <w:r>
        <w:rPr>
          <w:rFonts w:cs="Calibri"/>
          <w:rtl/>
        </w:rPr>
        <w:t xml:space="preserve"> وقال في التنبيه الثاني إنّ هذا مبحوث في مناقشتنا للأخباريّين حول وجود العلم الإجماليّ بالتكاليف في دائرة الأمارات والأصول المنجّزة للتكليف</w:t>
      </w:r>
      <w:r w:rsidR="00A10DD9">
        <w:rPr>
          <w:rStyle w:val="a5"/>
          <w:rFonts w:cs="Calibri"/>
          <w:rtl/>
        </w:rPr>
        <w:footnoteReference w:id="2"/>
      </w:r>
      <w:r w:rsidR="0048116B">
        <w:rPr>
          <w:rFonts w:cs="Calibri" w:hint="cs"/>
          <w:rtl/>
        </w:rPr>
        <w:t>،</w:t>
      </w:r>
      <w:r>
        <w:rPr>
          <w:rFonts w:cs="Calibri"/>
          <w:rtl/>
        </w:rPr>
        <w:t xml:space="preserve"> فقالوا ينحلّ بذلك العلم الإجماليّ الكبير، فر</w:t>
      </w:r>
      <w:r w:rsidR="0048116B">
        <w:rPr>
          <w:rFonts w:cs="Calibri" w:hint="cs"/>
          <w:rtl/>
        </w:rPr>
        <w:t>ا</w:t>
      </w:r>
      <w:r>
        <w:rPr>
          <w:rFonts w:cs="Calibri"/>
          <w:rtl/>
        </w:rPr>
        <w:t>جعت ذلك البحث</w:t>
      </w:r>
      <w:r w:rsidR="0048116B">
        <w:rPr>
          <w:rFonts w:cs="Calibri" w:hint="cs"/>
          <w:rtl/>
        </w:rPr>
        <w:t>،</w:t>
      </w:r>
      <w:r>
        <w:rPr>
          <w:rFonts w:cs="Calibri"/>
          <w:rtl/>
        </w:rPr>
        <w:t xml:space="preserve"> فالشيء الذي حصلت عليه أخيرا</w:t>
      </w:r>
      <w:r w:rsidR="0048116B">
        <w:rPr>
          <w:rFonts w:cs="Calibri" w:hint="cs"/>
          <w:rtl/>
        </w:rPr>
        <w:t>ً</w:t>
      </w:r>
      <w:r>
        <w:rPr>
          <w:rFonts w:cs="Calibri"/>
          <w:rtl/>
        </w:rPr>
        <w:t xml:space="preserve"> هو أنّ أستاذنا الشهيد رضوان الله تعالى عليه يناقش في القاعدة المدّعاة </w:t>
      </w:r>
      <w:r w:rsidR="0048116B">
        <w:rPr>
          <w:rFonts w:cs="Calibri" w:hint="cs"/>
          <w:rtl/>
        </w:rPr>
        <w:t>ب</w:t>
      </w:r>
      <w:r>
        <w:rPr>
          <w:rFonts w:cs="Calibri"/>
          <w:rtl/>
        </w:rPr>
        <w:t>أنّه إذا كان أحد طرفي العلم الإجماليّ منجّزا</w:t>
      </w:r>
      <w:r w:rsidR="0048116B">
        <w:rPr>
          <w:rFonts w:cs="Calibri" w:hint="cs"/>
          <w:rtl/>
        </w:rPr>
        <w:t>ً</w:t>
      </w:r>
      <w:r>
        <w:rPr>
          <w:rFonts w:cs="Calibri"/>
          <w:rtl/>
        </w:rPr>
        <w:t xml:space="preserve"> بمنجّز سابق فهو غير صالح للتنجيز فيسقط هذا العلم الإجماليّ الثاني.</w:t>
      </w:r>
      <w:r w:rsidR="008F6335">
        <w:rPr>
          <w:rStyle w:val="a5"/>
          <w:rFonts w:cs="Calibri"/>
          <w:rtl/>
        </w:rPr>
        <w:footnoteReference w:id="3"/>
      </w:r>
    </w:p>
    <w:p w14:paraId="71513069" w14:textId="41033040" w:rsidR="00417E69" w:rsidRDefault="001727F1" w:rsidP="00417E69">
      <w:pPr>
        <w:rPr>
          <w:rtl/>
        </w:rPr>
      </w:pPr>
      <w:r>
        <w:rPr>
          <w:rFonts w:cs="Calibri" w:hint="cs"/>
          <w:rtl/>
        </w:rPr>
        <w:t>ثمّ ذكر</w:t>
      </w:r>
      <w:r w:rsidR="00417E69">
        <w:rPr>
          <w:rFonts w:cs="Calibri"/>
          <w:rtl/>
        </w:rPr>
        <w:t xml:space="preserve"> هنا </w:t>
      </w:r>
      <w:r>
        <w:rPr>
          <w:rFonts w:cs="Calibri" w:hint="cs"/>
          <w:rtl/>
        </w:rPr>
        <w:t>أنّ</w:t>
      </w:r>
      <w:r w:rsidR="00417E69">
        <w:rPr>
          <w:rFonts w:cs="Calibri"/>
          <w:rtl/>
        </w:rPr>
        <w:t xml:space="preserve"> المحقّق النائينيّ </w:t>
      </w:r>
      <w:r w:rsidR="001874D2">
        <w:rPr>
          <w:rFonts w:cs="Calibri" w:hint="cs"/>
          <w:rtl/>
        </w:rPr>
        <w:t>يقول بأنّ</w:t>
      </w:r>
      <w:r w:rsidR="00417E69">
        <w:rPr>
          <w:rFonts w:cs="Calibri"/>
          <w:rtl/>
        </w:rPr>
        <w:t xml:space="preserve"> </w:t>
      </w:r>
      <w:r w:rsidR="001874D2">
        <w:rPr>
          <w:rFonts w:cs="Calibri" w:hint="cs"/>
          <w:rtl/>
        </w:rPr>
        <w:t xml:space="preserve">سقوط </w:t>
      </w:r>
      <w:r w:rsidR="00417E69">
        <w:rPr>
          <w:rFonts w:cs="Calibri"/>
          <w:rtl/>
        </w:rPr>
        <w:t xml:space="preserve">هذا العلم الإجماليّ </w:t>
      </w:r>
      <w:r w:rsidR="001874D2">
        <w:rPr>
          <w:rFonts w:cs="Calibri" w:hint="cs"/>
          <w:rtl/>
        </w:rPr>
        <w:t xml:space="preserve">إنّما يكون </w:t>
      </w:r>
      <w:r w:rsidR="00417E69">
        <w:rPr>
          <w:rFonts w:cs="Calibri"/>
          <w:rtl/>
        </w:rPr>
        <w:t>ل</w:t>
      </w:r>
      <w:r w:rsidR="001874D2">
        <w:rPr>
          <w:rFonts w:cs="Calibri" w:hint="cs"/>
          <w:rtl/>
        </w:rPr>
        <w:t xml:space="preserve">أجل </w:t>
      </w:r>
      <w:r w:rsidR="00417E69">
        <w:rPr>
          <w:rFonts w:cs="Calibri"/>
          <w:rtl/>
        </w:rPr>
        <w:t xml:space="preserve">أنّ </w:t>
      </w:r>
      <w:r w:rsidR="00F935C5">
        <w:rPr>
          <w:rFonts w:cs="Calibri" w:hint="cs"/>
          <w:rtl/>
        </w:rPr>
        <w:t xml:space="preserve">المعلوم في </w:t>
      </w:r>
      <w:r w:rsidR="00417E69">
        <w:rPr>
          <w:rFonts w:cs="Calibri"/>
          <w:rtl/>
        </w:rPr>
        <w:t>أحد طرفي</w:t>
      </w:r>
      <w:r w:rsidR="00EF51B7">
        <w:rPr>
          <w:rFonts w:cs="Calibri" w:hint="cs"/>
          <w:rtl/>
        </w:rPr>
        <w:t>ه</w:t>
      </w:r>
      <w:r w:rsidR="00417E69">
        <w:rPr>
          <w:rFonts w:cs="Calibri"/>
          <w:rtl/>
        </w:rPr>
        <w:t xml:space="preserve"> ليس</w:t>
      </w:r>
      <w:r w:rsidR="00F935C5">
        <w:rPr>
          <w:rFonts w:cs="Calibri" w:hint="cs"/>
          <w:rtl/>
        </w:rPr>
        <w:t xml:space="preserve"> </w:t>
      </w:r>
      <w:r w:rsidR="00417E69">
        <w:rPr>
          <w:rFonts w:cs="Calibri"/>
          <w:rtl/>
        </w:rPr>
        <w:t>أمرا</w:t>
      </w:r>
      <w:r w:rsidR="00EF51B7">
        <w:rPr>
          <w:rFonts w:cs="Calibri" w:hint="cs"/>
          <w:rtl/>
        </w:rPr>
        <w:t>ً</w:t>
      </w:r>
      <w:r w:rsidR="00417E69">
        <w:rPr>
          <w:rFonts w:cs="Calibri"/>
          <w:rtl/>
        </w:rPr>
        <w:t xml:space="preserve"> حدوثيّا</w:t>
      </w:r>
      <w:r w:rsidR="002F7DA8">
        <w:rPr>
          <w:rFonts w:cs="Calibri" w:hint="cs"/>
          <w:rtl/>
        </w:rPr>
        <w:t>ً</w:t>
      </w:r>
      <w:r w:rsidR="00417E69">
        <w:rPr>
          <w:rFonts w:cs="Calibri"/>
          <w:rtl/>
        </w:rPr>
        <w:t xml:space="preserve">؛ </w:t>
      </w:r>
      <w:r w:rsidR="00F829C4">
        <w:rPr>
          <w:rFonts w:cs="Calibri" w:hint="cs"/>
          <w:rtl/>
        </w:rPr>
        <w:t>فإ</w:t>
      </w:r>
      <w:r w:rsidR="00417E69">
        <w:rPr>
          <w:rFonts w:cs="Calibri"/>
          <w:rtl/>
        </w:rPr>
        <w:t>ن</w:t>
      </w:r>
      <w:r w:rsidR="00EF51B7">
        <w:rPr>
          <w:rFonts w:cs="Calibri" w:hint="cs"/>
          <w:rtl/>
        </w:rPr>
        <w:t>ّه</w:t>
      </w:r>
      <w:r w:rsidR="00417E69">
        <w:rPr>
          <w:rFonts w:cs="Calibri"/>
          <w:rtl/>
        </w:rPr>
        <w:t xml:space="preserve"> يشترط أن يكون العلم الإجماليّ على كلا تقديريه علما</w:t>
      </w:r>
      <w:r w:rsidR="001874D2">
        <w:rPr>
          <w:rFonts w:cs="Calibri" w:hint="cs"/>
          <w:rtl/>
        </w:rPr>
        <w:t>ً</w:t>
      </w:r>
      <w:r w:rsidR="00417E69">
        <w:rPr>
          <w:rFonts w:cs="Calibri"/>
          <w:rtl/>
        </w:rPr>
        <w:t xml:space="preserve"> بحدوث التكليف</w:t>
      </w:r>
      <w:r w:rsidR="00204743">
        <w:rPr>
          <w:rFonts w:cs="Calibri" w:hint="cs"/>
          <w:rtl/>
        </w:rPr>
        <w:t>،</w:t>
      </w:r>
      <w:r w:rsidR="00417E69">
        <w:rPr>
          <w:rFonts w:cs="Calibri"/>
          <w:rtl/>
        </w:rPr>
        <w:t xml:space="preserve"> بينما هنا يكون علما</w:t>
      </w:r>
      <w:r w:rsidR="00112BCE">
        <w:rPr>
          <w:rFonts w:cs="Calibri" w:hint="cs"/>
          <w:rtl/>
        </w:rPr>
        <w:t>ً</w:t>
      </w:r>
      <w:r w:rsidR="00417E69">
        <w:rPr>
          <w:rFonts w:cs="Calibri"/>
          <w:rtl/>
        </w:rPr>
        <w:t xml:space="preserve"> ببقاء التكليف في أحد طرفيه.</w:t>
      </w:r>
    </w:p>
    <w:p w14:paraId="52BB21C8" w14:textId="1081B6C2" w:rsidR="00417E69" w:rsidRDefault="00417E69" w:rsidP="00417E69">
      <w:pPr>
        <w:rPr>
          <w:rtl/>
        </w:rPr>
      </w:pPr>
      <w:r>
        <w:rPr>
          <w:rFonts w:cs="Calibri"/>
          <w:rtl/>
        </w:rPr>
        <w:t xml:space="preserve">وقلنا لعلّ المحقّق النائينيّ يقصد بقوله: </w:t>
      </w:r>
      <w:r w:rsidR="000D7296">
        <w:rPr>
          <w:rFonts w:cs="Calibri" w:hint="cs"/>
          <w:rtl/>
        </w:rPr>
        <w:t>«</w:t>
      </w:r>
      <w:r>
        <w:rPr>
          <w:rFonts w:cs="Calibri"/>
          <w:rtl/>
        </w:rPr>
        <w:t>لا بد</w:t>
      </w:r>
      <w:r w:rsidR="000D7296">
        <w:rPr>
          <w:rFonts w:cs="Calibri" w:hint="cs"/>
          <w:rtl/>
        </w:rPr>
        <w:t>ّ</w:t>
      </w:r>
      <w:r>
        <w:rPr>
          <w:rFonts w:cs="Calibri"/>
          <w:rtl/>
        </w:rPr>
        <w:t xml:space="preserve"> أن يكون حدوثيّا</w:t>
      </w:r>
      <w:r w:rsidR="000D7296">
        <w:rPr>
          <w:rFonts w:cs="Calibri" w:hint="cs"/>
          <w:rtl/>
        </w:rPr>
        <w:t>ً</w:t>
      </w:r>
      <w:r>
        <w:rPr>
          <w:rFonts w:cs="Calibri"/>
          <w:rtl/>
        </w:rPr>
        <w:t xml:space="preserve"> لا بقائيّا</w:t>
      </w:r>
      <w:r w:rsidR="000D7296">
        <w:rPr>
          <w:rFonts w:cs="Calibri" w:hint="cs"/>
          <w:rtl/>
        </w:rPr>
        <w:t>ً»</w:t>
      </w:r>
      <w:r>
        <w:rPr>
          <w:rFonts w:cs="Calibri"/>
          <w:rtl/>
        </w:rPr>
        <w:t xml:space="preserve"> ما يقارب أو ما يكون مرجعه إلى ما قاله </w:t>
      </w:r>
      <w:r w:rsidR="00E06384">
        <w:rPr>
          <w:rFonts w:cs="Calibri" w:hint="cs"/>
          <w:rtl/>
        </w:rPr>
        <w:t xml:space="preserve">المحقّق </w:t>
      </w:r>
      <w:r>
        <w:rPr>
          <w:rFonts w:cs="Calibri"/>
          <w:rtl/>
        </w:rPr>
        <w:t>العراقيّ من أنّه لا بد</w:t>
      </w:r>
      <w:r w:rsidR="00E06384">
        <w:rPr>
          <w:rFonts w:cs="Calibri" w:hint="cs"/>
          <w:rtl/>
        </w:rPr>
        <w:t>ّ</w:t>
      </w:r>
      <w:r>
        <w:rPr>
          <w:rFonts w:cs="Calibri"/>
          <w:rtl/>
        </w:rPr>
        <w:t xml:space="preserve"> أن يكون غير منجّز بمنجّز سابق.</w:t>
      </w:r>
    </w:p>
    <w:p w14:paraId="6C7131FD" w14:textId="77777777" w:rsidR="005459A0" w:rsidRDefault="00417E69" w:rsidP="00417E69">
      <w:pPr>
        <w:rPr>
          <w:rFonts w:cs="Calibri"/>
          <w:rtl/>
        </w:rPr>
      </w:pPr>
      <w:r>
        <w:rPr>
          <w:rFonts w:cs="Calibri"/>
          <w:rtl/>
        </w:rPr>
        <w:t xml:space="preserve">فيقول أستاذنا الشهيد إنّ هذه القاعدة </w:t>
      </w:r>
      <w:r w:rsidR="0031343D">
        <w:rPr>
          <w:rFonts w:cs="Calibri"/>
          <w:rtl/>
        </w:rPr>
        <w:t>–</w:t>
      </w:r>
      <w:r>
        <w:rPr>
          <w:rFonts w:cs="Calibri"/>
          <w:rtl/>
        </w:rPr>
        <w:t xml:space="preserve"> بعد احتمال أن يكون مراد المحقّق النائينيّ يرجع إلى مراد المحقّق العراقيّ – مردودة </w:t>
      </w:r>
      <w:r>
        <w:rPr>
          <w:rFonts w:cs="Calibri"/>
          <w:rtl/>
        </w:rPr>
        <w:lastRenderedPageBreak/>
        <w:t xml:space="preserve">ببيانات سابقة، وهي ما </w:t>
      </w:r>
      <w:r w:rsidR="00236E69">
        <w:rPr>
          <w:rFonts w:cs="Calibri" w:hint="cs"/>
          <w:rtl/>
        </w:rPr>
        <w:t>جاء</w:t>
      </w:r>
      <w:r>
        <w:rPr>
          <w:rFonts w:cs="Calibri"/>
          <w:rtl/>
        </w:rPr>
        <w:t xml:space="preserve"> </w:t>
      </w:r>
      <w:r w:rsidR="00236E69">
        <w:rPr>
          <w:rFonts w:cs="Calibri" w:hint="cs"/>
          <w:rtl/>
        </w:rPr>
        <w:t>في</w:t>
      </w:r>
      <w:r>
        <w:rPr>
          <w:rFonts w:cs="Calibri"/>
          <w:rtl/>
        </w:rPr>
        <w:t xml:space="preserve"> التنبيه الخامس</w:t>
      </w:r>
      <w:r w:rsidR="00C11D6D">
        <w:rPr>
          <w:rFonts w:cs="Calibri" w:hint="cs"/>
          <w:rtl/>
        </w:rPr>
        <w:t>،</w:t>
      </w:r>
      <w:r>
        <w:rPr>
          <w:rFonts w:cs="Calibri"/>
          <w:rtl/>
        </w:rPr>
        <w:t xml:space="preserve"> ثم</w:t>
      </w:r>
      <w:r w:rsidR="00C11D6D">
        <w:rPr>
          <w:rFonts w:cs="Calibri" w:hint="cs"/>
          <w:rtl/>
        </w:rPr>
        <w:t>ّ</w:t>
      </w:r>
      <w:r>
        <w:rPr>
          <w:rFonts w:cs="Calibri"/>
          <w:rtl/>
        </w:rPr>
        <w:t xml:space="preserve"> تحوّلنا منه إلى التنبيه الثاني</w:t>
      </w:r>
      <w:r w:rsidR="00C11D6D">
        <w:rPr>
          <w:rFonts w:cs="Calibri" w:hint="cs"/>
          <w:rtl/>
        </w:rPr>
        <w:t>،</w:t>
      </w:r>
      <w:r>
        <w:rPr>
          <w:rFonts w:cs="Calibri"/>
          <w:rtl/>
        </w:rPr>
        <w:t xml:space="preserve"> ومنه إلى ما جاء في النقاش مع الأخباريّين</w:t>
      </w:r>
      <w:r w:rsidR="00500E39">
        <w:rPr>
          <w:rFonts w:cs="Calibri" w:hint="cs"/>
          <w:rtl/>
        </w:rPr>
        <w:t>،</w:t>
      </w:r>
      <w:r>
        <w:rPr>
          <w:rFonts w:cs="Calibri"/>
          <w:rtl/>
        </w:rPr>
        <w:t xml:space="preserve"> وانتهيت إلى هذا البيان وهو</w:t>
      </w:r>
      <w:r w:rsidR="00500E39">
        <w:rPr>
          <w:rFonts w:cs="Calibri" w:hint="cs"/>
          <w:rtl/>
        </w:rPr>
        <w:t>:</w:t>
      </w:r>
    </w:p>
    <w:p w14:paraId="54D82BF7" w14:textId="77777777" w:rsidR="006E1FB4" w:rsidRDefault="00417E69" w:rsidP="00417E69">
      <w:pPr>
        <w:rPr>
          <w:rFonts w:cs="Calibri"/>
          <w:rtl/>
        </w:rPr>
      </w:pPr>
      <w:r>
        <w:rPr>
          <w:rFonts w:cs="Calibri"/>
          <w:rtl/>
        </w:rPr>
        <w:t>أنّ عالم التنجيز ومنجّزيّة العلم ليس من سنخ عالم الأسباب والمسبّبات التكوينيّة حتّى يقال إذا جاء سبب فلا يجتمع معه السبب الثاني، فإنّ هذا في عالم الأسباب والمسبّبات والعلّيّات الخارجيّة، ف</w:t>
      </w:r>
      <w:r w:rsidR="006E1FB4">
        <w:rPr>
          <w:rFonts w:cs="Calibri" w:hint="cs"/>
          <w:rtl/>
        </w:rPr>
        <w:t>يقولون في عالم الأسباب والمسبّبات الخارجيّة بأنّه</w:t>
      </w:r>
      <w:r>
        <w:rPr>
          <w:rFonts w:cs="Calibri"/>
          <w:rtl/>
        </w:rPr>
        <w:t xml:space="preserve"> يستحيل اجتماع العلّتين على معلول واحد</w:t>
      </w:r>
      <w:r w:rsidR="00884DB2">
        <w:rPr>
          <w:rFonts w:cs="Calibri" w:hint="cs"/>
          <w:rtl/>
        </w:rPr>
        <w:t>،</w:t>
      </w:r>
      <w:r>
        <w:rPr>
          <w:rFonts w:cs="Calibri"/>
          <w:rtl/>
        </w:rPr>
        <w:t xml:space="preserve"> فإذا سبقت علّة فالعلّة الثانية إم</w:t>
      </w:r>
      <w:r w:rsidR="006E1FB4">
        <w:rPr>
          <w:rFonts w:cs="Calibri" w:hint="cs"/>
          <w:rtl/>
        </w:rPr>
        <w:t>ّ</w:t>
      </w:r>
      <w:r>
        <w:rPr>
          <w:rFonts w:cs="Calibri"/>
          <w:rtl/>
        </w:rPr>
        <w:t>ا لا تؤثّر أو تؤثّر بنحو الجزئيّة مع ذاك المؤثّر الأوّل</w:t>
      </w:r>
      <w:r w:rsidR="006E1FB4">
        <w:rPr>
          <w:rFonts w:cs="Calibri" w:hint="cs"/>
          <w:rtl/>
        </w:rPr>
        <w:t xml:space="preserve">، </w:t>
      </w:r>
      <w:r>
        <w:rPr>
          <w:rFonts w:cs="Calibri"/>
          <w:rtl/>
        </w:rPr>
        <w:t>فيصيران جزئين من علّة واحدة على معلول واحد. فهذه القضايا التي يبحثوها في الفلسفة أيضا</w:t>
      </w:r>
      <w:r w:rsidR="006E1FB4">
        <w:rPr>
          <w:rFonts w:cs="Calibri" w:hint="cs"/>
          <w:rtl/>
        </w:rPr>
        <w:t>ً</w:t>
      </w:r>
      <w:r>
        <w:rPr>
          <w:rFonts w:cs="Calibri"/>
          <w:rtl/>
        </w:rPr>
        <w:t xml:space="preserve"> في عالم العلّيّة التكوينيّة في الأشياء الخارجيّة</w:t>
      </w:r>
      <w:r w:rsidR="006E1FB4">
        <w:rPr>
          <w:rFonts w:cs="Calibri" w:hint="cs"/>
          <w:rtl/>
        </w:rPr>
        <w:t>.</w:t>
      </w:r>
    </w:p>
    <w:p w14:paraId="112C80EA" w14:textId="0A1AE847" w:rsidR="00417E69" w:rsidRDefault="00417E69" w:rsidP="006E1FB4">
      <w:pPr>
        <w:rPr>
          <w:rtl/>
        </w:rPr>
      </w:pPr>
      <w:r>
        <w:rPr>
          <w:rFonts w:cs="Calibri"/>
          <w:rtl/>
        </w:rPr>
        <w:t xml:space="preserve">فيقول أستاذنا الشهيد </w:t>
      </w:r>
      <w:r w:rsidR="006E1FB4">
        <w:rPr>
          <w:rFonts w:cs="Calibri" w:hint="cs"/>
          <w:rtl/>
        </w:rPr>
        <w:t>في</w:t>
      </w:r>
      <w:r>
        <w:rPr>
          <w:rFonts w:cs="Calibri"/>
          <w:rtl/>
        </w:rPr>
        <w:t xml:space="preserve"> بحث</w:t>
      </w:r>
      <w:r w:rsidR="006E1FB4">
        <w:rPr>
          <w:rFonts w:cs="Calibri" w:hint="cs"/>
          <w:rtl/>
        </w:rPr>
        <w:t>نا هذا في</w:t>
      </w:r>
      <w:r>
        <w:rPr>
          <w:rFonts w:cs="Calibri"/>
          <w:rtl/>
        </w:rPr>
        <w:t xml:space="preserve"> </w:t>
      </w:r>
      <w:r w:rsidR="0028649B">
        <w:rPr>
          <w:rFonts w:cs="Calibri" w:hint="cs"/>
          <w:rtl/>
        </w:rPr>
        <w:t>علّيّة العلم للتنجيز</w:t>
      </w:r>
      <w:r w:rsidR="006E1FB4">
        <w:rPr>
          <w:rFonts w:cs="Calibri" w:hint="cs"/>
          <w:rtl/>
        </w:rPr>
        <w:t>: إنّ</w:t>
      </w:r>
      <w:r>
        <w:rPr>
          <w:rFonts w:cs="Calibri"/>
          <w:rtl/>
        </w:rPr>
        <w:t xml:space="preserve"> هذا الباب ليس هو باب العلّيّات التكوينيّة حتّى يقال لا يجتمع علّتان على معلول واحد وإذا كان كذلك فماذا يحصل؟ هل أنّ العلّة الأولى تؤثّر والعلّة الثانية تسقط</w:t>
      </w:r>
      <w:r w:rsidR="009A5484">
        <w:rPr>
          <w:rFonts w:cs="Calibri" w:hint="cs"/>
          <w:rtl/>
        </w:rPr>
        <w:t>؟</w:t>
      </w:r>
      <w:r>
        <w:rPr>
          <w:rFonts w:cs="Calibri"/>
          <w:rtl/>
        </w:rPr>
        <w:t xml:space="preserve"> أو أنّهما تندمجان ويصبح كلّ منهما جزء العلّة؟</w:t>
      </w:r>
    </w:p>
    <w:p w14:paraId="735A48AD" w14:textId="637A6B73" w:rsidR="00417E69" w:rsidRDefault="00417E69" w:rsidP="00417E69">
      <w:pPr>
        <w:rPr>
          <w:rtl/>
        </w:rPr>
      </w:pPr>
      <w:r>
        <w:rPr>
          <w:rFonts w:cs="Calibri"/>
          <w:rtl/>
        </w:rPr>
        <w:t>فيقول إنّ بحث العلّيّة والمعلوليّة في علّيّة العلم للتنجيز يختلف عن ذاك الباب نهائيّا</w:t>
      </w:r>
      <w:r w:rsidR="00BB174C">
        <w:rPr>
          <w:rFonts w:cs="Calibri" w:hint="cs"/>
          <w:rtl/>
        </w:rPr>
        <w:t>ً</w:t>
      </w:r>
      <w:r>
        <w:rPr>
          <w:rFonts w:cs="Calibri"/>
          <w:rtl/>
        </w:rPr>
        <w:t xml:space="preserve"> ولا يمكن أن نبحث فيه بتلك الموازين. </w:t>
      </w:r>
    </w:p>
    <w:p w14:paraId="69A31379" w14:textId="77777777" w:rsidR="00417E69" w:rsidRDefault="00417E69" w:rsidP="00417E69">
      <w:pPr>
        <w:rPr>
          <w:rtl/>
        </w:rPr>
      </w:pPr>
      <w:r>
        <w:rPr>
          <w:rFonts w:cs="Calibri"/>
          <w:rtl/>
        </w:rPr>
        <w:t>إذاً ماذا هي الموازين التي لا بدّ أن نعتمد عليها في بحث علّيّة العلم للتنجيز؟</w:t>
      </w:r>
    </w:p>
    <w:p w14:paraId="302F0843" w14:textId="336A5BDB" w:rsidR="00417E69" w:rsidRDefault="00417E69" w:rsidP="00417E69">
      <w:pPr>
        <w:rPr>
          <w:rtl/>
        </w:rPr>
      </w:pPr>
      <w:r>
        <w:rPr>
          <w:rFonts w:cs="Calibri"/>
          <w:rtl/>
        </w:rPr>
        <w:t>فيقول هذا يرتبط بحقّ طاعة المولى وحكم العقل العمليّ</w:t>
      </w:r>
      <w:r w:rsidR="003839F6">
        <w:rPr>
          <w:rFonts w:cs="Calibri" w:hint="cs"/>
          <w:rtl/>
        </w:rPr>
        <w:t>،</w:t>
      </w:r>
      <w:r>
        <w:rPr>
          <w:rFonts w:cs="Calibri"/>
          <w:rtl/>
        </w:rPr>
        <w:t xml:space="preserve"> لا حكم العقل النظريّ أصلا</w:t>
      </w:r>
      <w:r w:rsidR="003839F6">
        <w:rPr>
          <w:rFonts w:cs="Calibri" w:hint="cs"/>
          <w:rtl/>
        </w:rPr>
        <w:t>ً</w:t>
      </w:r>
      <w:r>
        <w:rPr>
          <w:rFonts w:cs="Calibri"/>
          <w:rtl/>
        </w:rPr>
        <w:t>، و</w:t>
      </w:r>
      <w:r w:rsidR="00B157F4">
        <w:rPr>
          <w:rFonts w:cs="Calibri" w:hint="cs"/>
          <w:rtl/>
        </w:rPr>
        <w:t>[حكم</w:t>
      </w:r>
      <w:r w:rsidR="00A30426">
        <w:rPr>
          <w:rFonts w:cs="Calibri" w:hint="cs"/>
          <w:rtl/>
        </w:rPr>
        <w:t>ُ</w:t>
      </w:r>
      <w:r w:rsidR="00B157F4">
        <w:rPr>
          <w:rFonts w:cs="Calibri" w:hint="cs"/>
          <w:rtl/>
        </w:rPr>
        <w:t xml:space="preserve">] </w:t>
      </w:r>
      <w:r>
        <w:rPr>
          <w:rFonts w:cs="Calibri"/>
          <w:rtl/>
        </w:rPr>
        <w:t>أسباب المسبّبات الخارجيّة من أحكام العقل النظريّ</w:t>
      </w:r>
      <w:r w:rsidR="00BE001E">
        <w:rPr>
          <w:rFonts w:cs="Calibri" w:hint="cs"/>
          <w:rtl/>
        </w:rPr>
        <w:t>،</w:t>
      </w:r>
      <w:r>
        <w:rPr>
          <w:rFonts w:cs="Calibri"/>
          <w:rtl/>
        </w:rPr>
        <w:t xml:space="preserve"> مثل الإمكان والوجوب والامتناع، بينما بحثنا هذا – وهو بحث علّيّة العلم الإجماليّ للتنجيز – يرتبط ببحث العقل العمليّ، وقبح مخالة المولى ووجوب إطاعة المولى عقلا</w:t>
      </w:r>
      <w:r w:rsidR="00A30426">
        <w:rPr>
          <w:rFonts w:cs="Calibri" w:hint="cs"/>
          <w:rtl/>
        </w:rPr>
        <w:t>ً</w:t>
      </w:r>
      <w:r>
        <w:rPr>
          <w:rFonts w:cs="Calibri"/>
          <w:rtl/>
        </w:rPr>
        <w:t xml:space="preserve"> من العقل العمليّ ومن فروع بحث الحسن والقبح العقليّين تجاه المولى تبارك وتعالى.</w:t>
      </w:r>
    </w:p>
    <w:p w14:paraId="175CBD1F" w14:textId="11A2890C" w:rsidR="00417E69" w:rsidRDefault="00417E69" w:rsidP="00417E69">
      <w:pPr>
        <w:rPr>
          <w:rtl/>
        </w:rPr>
      </w:pPr>
      <w:r>
        <w:rPr>
          <w:rFonts w:cs="Calibri"/>
          <w:rtl/>
        </w:rPr>
        <w:t>إذاً فبهذه الطريقة التي ذكروها لإثبات سقوط منجّزيّة العلم الإجماليّ الثاني لا يمكن إثبات سقوطه لوجود سبب سابق لتنجيز أحد طرفي هذا العلم الإجماليّ قياسا</w:t>
      </w:r>
      <w:r w:rsidR="00A30426">
        <w:rPr>
          <w:rFonts w:cs="Calibri" w:hint="cs"/>
          <w:rtl/>
        </w:rPr>
        <w:t>ً</w:t>
      </w:r>
      <w:r>
        <w:rPr>
          <w:rFonts w:cs="Calibri"/>
          <w:rtl/>
        </w:rPr>
        <w:t xml:space="preserve"> بالأسباب الخارجي</w:t>
      </w:r>
      <w:r w:rsidR="00A30426">
        <w:rPr>
          <w:rFonts w:cs="Calibri" w:hint="cs"/>
          <w:rtl/>
        </w:rPr>
        <w:t>ّ</w:t>
      </w:r>
      <w:r>
        <w:rPr>
          <w:rFonts w:cs="Calibri"/>
          <w:rtl/>
        </w:rPr>
        <w:t>ة</w:t>
      </w:r>
      <w:r w:rsidR="00A30426">
        <w:rPr>
          <w:rFonts w:cs="Calibri" w:hint="cs"/>
          <w:rtl/>
        </w:rPr>
        <w:t>،</w:t>
      </w:r>
      <w:r>
        <w:rPr>
          <w:rFonts w:cs="Calibri"/>
          <w:rtl/>
        </w:rPr>
        <w:t xml:space="preserve"> فلا يمكن بها إثبات الانحلال الحكميّ أو الحقيقيّ لهذا العلم الإجماليّ؛ لأنّ هذه البيانات تناسب عالم الأسباب والمسبّبات الخارجيّة التابعة للعقل النظريّ</w:t>
      </w:r>
      <w:r w:rsidR="00A30426">
        <w:rPr>
          <w:rFonts w:cs="Calibri" w:hint="cs"/>
          <w:rtl/>
        </w:rPr>
        <w:t>،</w:t>
      </w:r>
      <w:r>
        <w:rPr>
          <w:rFonts w:cs="Calibri"/>
          <w:rtl/>
        </w:rPr>
        <w:t xml:space="preserve"> بينما بحثنا في حدود وجوب طاعة الله عقلا</w:t>
      </w:r>
      <w:r w:rsidR="00A30426">
        <w:rPr>
          <w:rFonts w:cs="Calibri" w:hint="cs"/>
          <w:rtl/>
        </w:rPr>
        <w:t>ً</w:t>
      </w:r>
      <w:r>
        <w:rPr>
          <w:rFonts w:cs="Calibri"/>
          <w:rtl/>
        </w:rPr>
        <w:t xml:space="preserve"> بحكم العقل العمليّ.</w:t>
      </w:r>
    </w:p>
    <w:p w14:paraId="5BD00C60" w14:textId="33757611" w:rsidR="00417E69" w:rsidRDefault="00417E69" w:rsidP="00417E69">
      <w:pPr>
        <w:rPr>
          <w:rtl/>
        </w:rPr>
      </w:pPr>
      <w:r>
        <w:rPr>
          <w:rFonts w:cs="Calibri"/>
          <w:rtl/>
        </w:rPr>
        <w:t>وما هي الحدود التي يقبح مخالفتها لأحكام الله تبارك وتعالى؟ هل يوجد في هذا العلم الإجماليّ حكم عقليّ بوجوب الطاعة في طرفيه أو لا؟ بقطع النظر عن كونه سببا</w:t>
      </w:r>
      <w:r w:rsidR="00A30426">
        <w:rPr>
          <w:rFonts w:cs="Calibri" w:hint="cs"/>
          <w:rtl/>
        </w:rPr>
        <w:t>ً</w:t>
      </w:r>
      <w:r>
        <w:rPr>
          <w:rFonts w:cs="Calibri"/>
          <w:rtl/>
        </w:rPr>
        <w:t xml:space="preserve"> سابقا</w:t>
      </w:r>
      <w:r w:rsidR="00A30426">
        <w:rPr>
          <w:rFonts w:cs="Calibri" w:hint="cs"/>
          <w:rtl/>
        </w:rPr>
        <w:t>ً</w:t>
      </w:r>
      <w:r>
        <w:rPr>
          <w:rFonts w:cs="Calibri"/>
          <w:rtl/>
        </w:rPr>
        <w:t>؛ لأنّ هذا السبب السابق ليس من القضايا الخارجيّة التكوينيّة حتّى نتمسّك بهذا السبب السابق.</w:t>
      </w:r>
    </w:p>
    <w:p w14:paraId="5777AEF7" w14:textId="5A491477" w:rsidR="00417E69" w:rsidRDefault="00417E69" w:rsidP="00417E69">
      <w:pPr>
        <w:rPr>
          <w:rtl/>
        </w:rPr>
      </w:pPr>
      <w:r>
        <w:rPr>
          <w:rFonts w:cs="Calibri"/>
          <w:rtl/>
        </w:rPr>
        <w:t xml:space="preserve">فهذه البيانات التي ذكرت وبالأخصّ بيان المحقّق العراقيّ من أنّ </w:t>
      </w:r>
      <w:r w:rsidR="000E7332">
        <w:rPr>
          <w:rFonts w:cs="Calibri" w:hint="cs"/>
          <w:rtl/>
        </w:rPr>
        <w:t>«</w:t>
      </w:r>
      <w:r>
        <w:rPr>
          <w:rFonts w:cs="Calibri"/>
          <w:rtl/>
        </w:rPr>
        <w:t>المنجّز إذا كان موجودا</w:t>
      </w:r>
      <w:r w:rsidR="000E7332">
        <w:rPr>
          <w:rFonts w:cs="Calibri" w:hint="cs"/>
          <w:rtl/>
        </w:rPr>
        <w:t>ً</w:t>
      </w:r>
      <w:r>
        <w:rPr>
          <w:rFonts w:cs="Calibri"/>
          <w:rtl/>
        </w:rPr>
        <w:t xml:space="preserve"> سابقا</w:t>
      </w:r>
      <w:r w:rsidR="000E7332">
        <w:rPr>
          <w:rFonts w:cs="Calibri" w:hint="cs"/>
          <w:rtl/>
        </w:rPr>
        <w:t>ً</w:t>
      </w:r>
      <w:r>
        <w:rPr>
          <w:rFonts w:cs="Calibri"/>
          <w:rtl/>
        </w:rPr>
        <w:t>، لا يمكن تنجيزه مرّة أخرى بهذا العلم الإجماليّ الجديد، فينحلّ هذا العلم الإجماليّ</w:t>
      </w:r>
      <w:r w:rsidR="000E7332">
        <w:rPr>
          <w:rFonts w:cs="Calibri" w:hint="cs"/>
          <w:rtl/>
        </w:rPr>
        <w:t>»،</w:t>
      </w:r>
      <w:r>
        <w:rPr>
          <w:rFonts w:cs="Calibri"/>
          <w:rtl/>
        </w:rPr>
        <w:t xml:space="preserve"> هذه البيانات غير صحيحة.</w:t>
      </w:r>
    </w:p>
    <w:p w14:paraId="25802FBF" w14:textId="27321850" w:rsidR="00417E69" w:rsidRDefault="00417E69" w:rsidP="00417E69">
      <w:pPr>
        <w:rPr>
          <w:rtl/>
        </w:rPr>
      </w:pPr>
      <w:r>
        <w:rPr>
          <w:rFonts w:cs="Calibri"/>
          <w:rtl/>
        </w:rPr>
        <w:t>بل الصحيح أنّه أساسا</w:t>
      </w:r>
      <w:r w:rsidR="009B0146">
        <w:rPr>
          <w:rFonts w:cs="Calibri" w:hint="cs"/>
          <w:rtl/>
        </w:rPr>
        <w:t>ً</w:t>
      </w:r>
      <w:r>
        <w:rPr>
          <w:rFonts w:cs="Calibri"/>
          <w:rtl/>
        </w:rPr>
        <w:t xml:space="preserve"> </w:t>
      </w:r>
      <w:r w:rsidR="009B0146">
        <w:rPr>
          <w:rFonts w:cs="Calibri"/>
          <w:rtl/>
        </w:rPr>
        <w:t>–</w:t>
      </w:r>
      <w:r>
        <w:rPr>
          <w:rFonts w:cs="Calibri"/>
          <w:rtl/>
        </w:rPr>
        <w:t xml:space="preserve"> بقطع النظر عمّا ذكره المحقّق العراقيّ</w:t>
      </w:r>
      <w:r w:rsidR="00DF4375">
        <w:rPr>
          <w:rFonts w:cs="Calibri" w:hint="cs"/>
          <w:rtl/>
        </w:rPr>
        <w:t xml:space="preserve"> والمحقّق النائينيّ الذي</w:t>
      </w:r>
      <w:r>
        <w:rPr>
          <w:rFonts w:cs="Calibri"/>
          <w:rtl/>
        </w:rPr>
        <w:t xml:space="preserve"> من المحتمل إرجاع قول</w:t>
      </w:r>
      <w:r w:rsidR="00DF4375">
        <w:rPr>
          <w:rFonts w:cs="Calibri" w:hint="cs"/>
          <w:rtl/>
        </w:rPr>
        <w:t>ه</w:t>
      </w:r>
      <w:r>
        <w:rPr>
          <w:rFonts w:cs="Calibri"/>
          <w:rtl/>
        </w:rPr>
        <w:t xml:space="preserve"> إلى ما ذكر</w:t>
      </w:r>
      <w:r w:rsidR="00DF4375">
        <w:rPr>
          <w:rFonts w:cs="Calibri" w:hint="cs"/>
          <w:rtl/>
        </w:rPr>
        <w:t>ه</w:t>
      </w:r>
      <w:r>
        <w:rPr>
          <w:rFonts w:cs="Calibri"/>
          <w:rtl/>
        </w:rPr>
        <w:t xml:space="preserve"> المحقّق العراقيّ – لا بدّ أن نجد هل يوجد سبب</w:t>
      </w:r>
      <w:r w:rsidR="00F62E54">
        <w:rPr>
          <w:rFonts w:cs="Calibri" w:hint="cs"/>
          <w:rtl/>
        </w:rPr>
        <w:t>ٌ</w:t>
      </w:r>
      <w:r>
        <w:rPr>
          <w:rFonts w:cs="Calibri"/>
          <w:rtl/>
        </w:rPr>
        <w:t xml:space="preserve"> لانحلال هذا العلم الإجماليّ بمعنى </w:t>
      </w:r>
      <w:r w:rsidR="00374281">
        <w:rPr>
          <w:rFonts w:cs="Calibri" w:hint="cs"/>
          <w:rtl/>
        </w:rPr>
        <w:t>«</w:t>
      </w:r>
      <w:r>
        <w:rPr>
          <w:rFonts w:cs="Calibri"/>
          <w:rtl/>
        </w:rPr>
        <w:t>عدم وجوب طاعة طرفيه</w:t>
      </w:r>
      <w:r w:rsidR="00374281">
        <w:rPr>
          <w:rFonts w:cs="Calibri" w:hint="cs"/>
          <w:rtl/>
        </w:rPr>
        <w:t>»</w:t>
      </w:r>
      <w:r>
        <w:rPr>
          <w:rFonts w:cs="Calibri"/>
          <w:rtl/>
        </w:rPr>
        <w:t>، لا بمعنى أنّ فيه السببيّة قياسا</w:t>
      </w:r>
      <w:r w:rsidR="00374281">
        <w:rPr>
          <w:rFonts w:cs="Calibri" w:hint="cs"/>
          <w:rtl/>
        </w:rPr>
        <w:t>ً</w:t>
      </w:r>
      <w:r>
        <w:rPr>
          <w:rFonts w:cs="Calibri"/>
          <w:rtl/>
        </w:rPr>
        <w:t xml:space="preserve"> للسببيّة الخارجيّة</w:t>
      </w:r>
      <w:r w:rsidR="00374281">
        <w:rPr>
          <w:rFonts w:cs="Calibri" w:hint="cs"/>
          <w:rtl/>
        </w:rPr>
        <w:t>،</w:t>
      </w:r>
      <w:r>
        <w:rPr>
          <w:rFonts w:cs="Calibri"/>
          <w:rtl/>
        </w:rPr>
        <w:t xml:space="preserve"> بل هذا العلم الإجماليّ الثاني هل في نفسه يوجد ما يوجب سقوطه عن التنجيز أو لا؟ لأنّ ما نعلم من قبح مخالفته لأحكام الله تبارك وتعالى هو الأحكام الواصلة إلينا بالوصول القطعيّ عند المشهور وبالوصول القطعيّ والظنّيّ والاحتماليّ عند أستاذنا الشهيد، ما لم يرد مبرّر وأصل شرعيّ لمخالفة الظنّ والاحتمال.</w:t>
      </w:r>
    </w:p>
    <w:p w14:paraId="41B46916" w14:textId="128B2C9B" w:rsidR="00417E69" w:rsidRDefault="00417E69" w:rsidP="00417E69">
      <w:pPr>
        <w:rPr>
          <w:rtl/>
        </w:rPr>
      </w:pPr>
      <w:r>
        <w:rPr>
          <w:rFonts w:cs="Calibri"/>
          <w:rtl/>
        </w:rPr>
        <w:lastRenderedPageBreak/>
        <w:t>و</w:t>
      </w:r>
      <w:r w:rsidR="00374281">
        <w:rPr>
          <w:rFonts w:cs="Calibri" w:hint="cs"/>
          <w:rtl/>
        </w:rPr>
        <w:t>[</w:t>
      </w:r>
      <w:r w:rsidR="00374281">
        <w:rPr>
          <w:rFonts w:cs="Calibri"/>
          <w:rtl/>
        </w:rPr>
        <w:t>لا بدّ أن ن</w:t>
      </w:r>
      <w:r w:rsidR="006735C9">
        <w:rPr>
          <w:rFonts w:cs="Calibri" w:hint="cs"/>
          <w:rtl/>
        </w:rPr>
        <w:t>بحث عن</w:t>
      </w:r>
      <w:r w:rsidR="00374281">
        <w:rPr>
          <w:rFonts w:cs="Calibri" w:hint="cs"/>
          <w:rtl/>
        </w:rPr>
        <w:t xml:space="preserve"> أنّ </w:t>
      </w:r>
      <w:r w:rsidR="00BB086C">
        <w:rPr>
          <w:rFonts w:cs="Calibri" w:hint="cs"/>
          <w:rtl/>
        </w:rPr>
        <w:t>قبح مخالفة</w:t>
      </w:r>
      <w:r w:rsidR="00374281">
        <w:rPr>
          <w:rFonts w:cs="Calibri" w:hint="cs"/>
          <w:rtl/>
        </w:rPr>
        <w:t>]</w:t>
      </w:r>
      <w:r w:rsidR="00374281">
        <w:rPr>
          <w:rFonts w:cs="Calibri"/>
          <w:rtl/>
        </w:rPr>
        <w:t xml:space="preserve"> </w:t>
      </w:r>
      <w:r>
        <w:rPr>
          <w:rFonts w:cs="Calibri"/>
          <w:rtl/>
        </w:rPr>
        <w:t>العلم هل يشمل العلم التفصيليّ فقط أو حتّى العلم الإجماليّ؟</w:t>
      </w:r>
    </w:p>
    <w:p w14:paraId="41303B65" w14:textId="12BA78A6" w:rsidR="00417E69" w:rsidRDefault="00417E69" w:rsidP="00417E69">
      <w:pPr>
        <w:rPr>
          <w:rtl/>
        </w:rPr>
      </w:pPr>
      <w:r>
        <w:rPr>
          <w:rFonts w:cs="Calibri"/>
          <w:rtl/>
        </w:rPr>
        <w:t>فنقول هذا العلم الإجماليّ الثاني موجود بين باء والثوب الملاقي لألف، ولا يمكن إسقاطه بما ذكره المحقّق العراقيّ، إذاً فهذا العلم الإجماليّ ما دام أنّنا نؤمن بأنّ حقّ طاعة المولى كما يجري في العلم التفصيليّ يجري في العلم الإجماليّ أيضا</w:t>
      </w:r>
      <w:r w:rsidR="00CE27F1">
        <w:rPr>
          <w:rFonts w:cs="Calibri" w:hint="cs"/>
          <w:rtl/>
        </w:rPr>
        <w:t>ً</w:t>
      </w:r>
      <w:r>
        <w:rPr>
          <w:rFonts w:cs="Calibri"/>
          <w:rtl/>
        </w:rPr>
        <w:t xml:space="preserve"> فحينئذ لا بدّ من الإطاعة والاحتياط في طرفي هذا العلم الإجماليّ.</w:t>
      </w:r>
    </w:p>
    <w:p w14:paraId="726379B0" w14:textId="77777777" w:rsidR="00417E69" w:rsidRDefault="00417E69" w:rsidP="00417E69">
      <w:pPr>
        <w:rPr>
          <w:rtl/>
        </w:rPr>
      </w:pPr>
      <w:r>
        <w:rPr>
          <w:rFonts w:cs="Calibri"/>
          <w:rtl/>
        </w:rPr>
        <w:t>فما أشير إليه من أنّ هذه القاعدة غير مقبول عندنا ببيانات سابقة يبدو أنّ هذا هو السبب في عدم قبوله.</w:t>
      </w:r>
    </w:p>
    <w:p w14:paraId="6D4059A2" w14:textId="77777777" w:rsidR="00417E69" w:rsidRDefault="00417E69" w:rsidP="00417E69">
      <w:pPr>
        <w:rPr>
          <w:rtl/>
        </w:rPr>
      </w:pPr>
      <w:r>
        <w:rPr>
          <w:rFonts w:cs="Calibri"/>
          <w:rtl/>
        </w:rPr>
        <w:t>والظاهر أنّ أستاذنا الشهيد رضوان الله تعالى عليه بإشارته إلى بيانات سابقة يقصد هذا البيان.</w:t>
      </w:r>
    </w:p>
    <w:p w14:paraId="58BB9010" w14:textId="701D5E49" w:rsidR="00417E69" w:rsidRDefault="00417E69" w:rsidP="00417E69">
      <w:pPr>
        <w:rPr>
          <w:rtl/>
        </w:rPr>
      </w:pPr>
      <w:r>
        <w:rPr>
          <w:rFonts w:cs="Calibri"/>
          <w:rtl/>
        </w:rPr>
        <w:t>هذا هو الإشكال الأوّل على المباني الأربعة التي يبتني عليها تقريب المحقّق النائينيّ رضوان الله تعالى عليه وهو عدم قبول هذه القاعدة.</w:t>
      </w:r>
    </w:p>
    <w:p w14:paraId="31B70976" w14:textId="6E763FC6" w:rsidR="00830614" w:rsidRPr="00830614" w:rsidRDefault="00830614" w:rsidP="00417E69">
      <w:pPr>
        <w:rPr>
          <w:b/>
          <w:bCs/>
          <w:sz w:val="24"/>
          <w:szCs w:val="24"/>
          <w:rtl/>
        </w:rPr>
      </w:pPr>
      <w:r w:rsidRPr="00830614">
        <w:rPr>
          <w:rFonts w:hint="cs"/>
          <w:b/>
          <w:bCs/>
          <w:sz w:val="24"/>
          <w:szCs w:val="24"/>
          <w:rtl/>
        </w:rPr>
        <w:t>المناقشة الثانية في كلام المحقّق النائيني</w:t>
      </w:r>
    </w:p>
    <w:p w14:paraId="2E92AB87" w14:textId="76C9C535" w:rsidR="00417E69" w:rsidRDefault="00417E69" w:rsidP="00417E69">
      <w:pPr>
        <w:rPr>
          <w:rtl/>
        </w:rPr>
      </w:pPr>
      <w:r>
        <w:rPr>
          <w:rFonts w:cs="Calibri"/>
          <w:rtl/>
        </w:rPr>
        <w:t xml:space="preserve">والإشكال الثاني على هذه المباني </w:t>
      </w:r>
      <w:r w:rsidR="000056FC">
        <w:rPr>
          <w:rFonts w:cs="Calibri" w:hint="cs"/>
          <w:rtl/>
        </w:rPr>
        <w:t>[يكون حول المبنى الثالث القائل ب</w:t>
      </w:r>
      <w:r w:rsidR="000056FC">
        <w:rPr>
          <w:rFonts w:cs="Calibri"/>
          <w:rtl/>
        </w:rPr>
        <w:t>كون العبرة بالتقدّم والتأخّر في المعلومين لا في العلمين</w:t>
      </w:r>
      <w:r w:rsidR="000056FC">
        <w:rPr>
          <w:rFonts w:cs="Calibri" w:hint="cs"/>
          <w:rtl/>
        </w:rPr>
        <w:t>] و</w:t>
      </w:r>
      <w:r>
        <w:rPr>
          <w:rFonts w:cs="Calibri"/>
          <w:rtl/>
        </w:rPr>
        <w:t xml:space="preserve">هو أنّا لو سلّمنا بهذه القاعدة </w:t>
      </w:r>
      <w:proofErr w:type="gramStart"/>
      <w:r>
        <w:rPr>
          <w:rFonts w:cs="Calibri"/>
          <w:rtl/>
        </w:rPr>
        <w:t>ففي ما</w:t>
      </w:r>
      <w:proofErr w:type="gramEnd"/>
      <w:r>
        <w:rPr>
          <w:rFonts w:cs="Calibri"/>
          <w:rtl/>
        </w:rPr>
        <w:t xml:space="preserve"> نحن فيه لا يوجد موجب ل</w:t>
      </w:r>
      <w:r w:rsidR="00A81702">
        <w:rPr>
          <w:rFonts w:cs="Calibri" w:hint="cs"/>
          <w:rtl/>
        </w:rPr>
        <w:t>ـ[ـكون الملاك في] ا</w:t>
      </w:r>
      <w:r>
        <w:rPr>
          <w:rFonts w:cs="Calibri"/>
          <w:rtl/>
        </w:rPr>
        <w:t>لتقدّم والتأخّر في المعلوم لا في العلم.</w:t>
      </w:r>
    </w:p>
    <w:p w14:paraId="3875D3D6" w14:textId="6F1CFF74" w:rsidR="00B5391C" w:rsidRDefault="00417E69" w:rsidP="00417E69">
      <w:pPr>
        <w:rPr>
          <w:rFonts w:cs="Calibri"/>
          <w:rtl/>
        </w:rPr>
      </w:pPr>
      <w:r>
        <w:rPr>
          <w:rFonts w:cs="Calibri"/>
          <w:rtl/>
        </w:rPr>
        <w:t>وهذا الكلام إنّما يحتاجه المحقّق النائينيّ فيما إذا أصرّ على كون العلم لا بدّ أن يتعلّق بحدوث التكليف لا ببقائه</w:t>
      </w:r>
      <w:r w:rsidR="00A133C6">
        <w:rPr>
          <w:rFonts w:cs="Calibri" w:hint="cs"/>
          <w:rtl/>
        </w:rPr>
        <w:t>،</w:t>
      </w:r>
      <w:r>
        <w:rPr>
          <w:rFonts w:cs="Calibri"/>
          <w:rtl/>
        </w:rPr>
        <w:t xml:space="preserve"> فالحدوث والبقاء يكون في المعلومات لا في العلم فلهذا أصرّ على أنّه لا بد</w:t>
      </w:r>
      <w:r w:rsidR="00A133C6">
        <w:rPr>
          <w:rFonts w:cs="Calibri" w:hint="cs"/>
          <w:rtl/>
        </w:rPr>
        <w:t>ّ</w:t>
      </w:r>
      <w:r>
        <w:rPr>
          <w:rFonts w:cs="Calibri"/>
          <w:rtl/>
        </w:rPr>
        <w:t xml:space="preserve"> أن يكون التقدّم والتأخّر في المعلومين</w:t>
      </w:r>
      <w:r w:rsidR="00101CDC">
        <w:rPr>
          <w:rFonts w:cs="Calibri" w:hint="cs"/>
          <w:rtl/>
        </w:rPr>
        <w:t>،</w:t>
      </w:r>
      <w:r>
        <w:rPr>
          <w:rFonts w:cs="Calibri"/>
          <w:rtl/>
        </w:rPr>
        <w:t xml:space="preserve"> بينما إذا قلنا إنّ القضيّة قضيّة التنجيز </w:t>
      </w:r>
      <w:r w:rsidR="00092EC3">
        <w:rPr>
          <w:rFonts w:cs="Calibri" w:hint="cs"/>
          <w:rtl/>
        </w:rPr>
        <w:t xml:space="preserve">[ولا بدّ] </w:t>
      </w:r>
      <w:proofErr w:type="gramStart"/>
      <w:r>
        <w:rPr>
          <w:rFonts w:cs="Calibri"/>
          <w:rtl/>
        </w:rPr>
        <w:t>أن لا</w:t>
      </w:r>
      <w:proofErr w:type="gramEnd"/>
      <w:r>
        <w:rPr>
          <w:rFonts w:cs="Calibri"/>
          <w:rtl/>
        </w:rPr>
        <w:t xml:space="preserve"> يكون </w:t>
      </w:r>
      <w:r w:rsidR="00092EC3">
        <w:rPr>
          <w:rFonts w:cs="Calibri" w:hint="cs"/>
          <w:rtl/>
        </w:rPr>
        <w:t xml:space="preserve">[طرف العلم الإجماليّ] </w:t>
      </w:r>
      <w:r>
        <w:rPr>
          <w:rFonts w:cs="Calibri"/>
          <w:rtl/>
        </w:rPr>
        <w:t>منجّزا</w:t>
      </w:r>
      <w:r w:rsidR="00092EC3">
        <w:rPr>
          <w:rFonts w:cs="Calibri" w:hint="cs"/>
          <w:rtl/>
        </w:rPr>
        <w:t>ً</w:t>
      </w:r>
      <w:r>
        <w:rPr>
          <w:rFonts w:cs="Calibri"/>
          <w:rtl/>
        </w:rPr>
        <w:t xml:space="preserve"> بمنجّز سابق، </w:t>
      </w:r>
      <w:r w:rsidR="002B7A5A">
        <w:rPr>
          <w:rFonts w:cs="Calibri" w:hint="cs"/>
          <w:rtl/>
        </w:rPr>
        <w:t>ف</w:t>
      </w:r>
      <w:r>
        <w:rPr>
          <w:rFonts w:cs="Calibri"/>
          <w:rtl/>
        </w:rPr>
        <w:t>التنجيز ناشئ من العلم لا المعلوم</w:t>
      </w:r>
      <w:r w:rsidR="00B5391C">
        <w:rPr>
          <w:rFonts w:cs="Calibri" w:hint="cs"/>
          <w:rtl/>
        </w:rPr>
        <w:t>،</w:t>
      </w:r>
      <w:r>
        <w:rPr>
          <w:rFonts w:cs="Calibri"/>
          <w:rtl/>
        </w:rPr>
        <w:t xml:space="preserve"> فلا بدّ أن يعتبر الميزان هو التقدّم في عالم التنجيز الحاصل من العلم لا عالم المعلومين في طرفي هذا العلم الإجماليّ</w:t>
      </w:r>
      <w:r w:rsidR="00B5391C">
        <w:rPr>
          <w:rFonts w:cs="Calibri" w:hint="cs"/>
          <w:rtl/>
        </w:rPr>
        <w:t>.</w:t>
      </w:r>
    </w:p>
    <w:p w14:paraId="4BCB1B3B" w14:textId="66A23955" w:rsidR="00417E69" w:rsidRDefault="00417E69" w:rsidP="00417E69">
      <w:pPr>
        <w:rPr>
          <w:rtl/>
        </w:rPr>
      </w:pPr>
      <w:r>
        <w:rPr>
          <w:rFonts w:cs="Calibri"/>
          <w:rtl/>
        </w:rPr>
        <w:t>إذاً يسقط ما بنى عليه في المبنى الثالث من أنّه لا بد</w:t>
      </w:r>
      <w:r w:rsidR="00AF41D9">
        <w:rPr>
          <w:rFonts w:cs="Calibri" w:hint="cs"/>
          <w:rtl/>
        </w:rPr>
        <w:t>ّ</w:t>
      </w:r>
      <w:r>
        <w:rPr>
          <w:rFonts w:cs="Calibri"/>
          <w:rtl/>
        </w:rPr>
        <w:t xml:space="preserve"> أن يكون التقدّم والتأخّر في المعلومين لا في العلمين، وهذا </w:t>
      </w:r>
      <w:proofErr w:type="gramStart"/>
      <w:r>
        <w:rPr>
          <w:rFonts w:cs="Calibri"/>
          <w:rtl/>
        </w:rPr>
        <w:t>في ما</w:t>
      </w:r>
      <w:proofErr w:type="gramEnd"/>
      <w:r>
        <w:rPr>
          <w:rFonts w:cs="Calibri"/>
          <w:rtl/>
        </w:rPr>
        <w:t xml:space="preserve"> إذا قلنا إنّ مراد المحقّق النائينيّ يندمج مع مراد المحقّق العراقيّ في هذه النقطة.</w:t>
      </w:r>
    </w:p>
    <w:p w14:paraId="0457299B" w14:textId="49E08152" w:rsidR="003468F1" w:rsidRDefault="00417E69" w:rsidP="00417E69">
      <w:pPr>
        <w:rPr>
          <w:rtl/>
        </w:rPr>
      </w:pPr>
      <w:r>
        <w:rPr>
          <w:rFonts w:cs="Calibri"/>
          <w:rtl/>
        </w:rPr>
        <w:t>والحمد لله ربّ العالمين.</w:t>
      </w:r>
    </w:p>
    <w:sectPr w:rsidR="003468F1"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55B0" w14:textId="77777777" w:rsidR="00CF12A6" w:rsidRDefault="00CF12A6" w:rsidP="007800A5">
      <w:r>
        <w:separator/>
      </w:r>
    </w:p>
  </w:endnote>
  <w:endnote w:type="continuationSeparator" w:id="0">
    <w:p w14:paraId="5988F510" w14:textId="77777777" w:rsidR="00CF12A6" w:rsidRDefault="00CF12A6"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D887" w14:textId="77777777" w:rsidR="00CF12A6" w:rsidRDefault="00CF12A6" w:rsidP="007800A5">
      <w:r>
        <w:separator/>
      </w:r>
    </w:p>
  </w:footnote>
  <w:footnote w:type="continuationSeparator" w:id="0">
    <w:p w14:paraId="6EA24437" w14:textId="77777777" w:rsidR="00CF12A6" w:rsidRDefault="00CF12A6" w:rsidP="007800A5">
      <w:r>
        <w:continuationSeparator/>
      </w:r>
    </w:p>
  </w:footnote>
  <w:footnote w:id="1">
    <w:p w14:paraId="0B769BEE" w14:textId="32937004" w:rsidR="00E22FE8" w:rsidRDefault="00E22FE8" w:rsidP="00E22FE8">
      <w:pPr>
        <w:pStyle w:val="a4"/>
        <w:rPr>
          <w:rFonts w:hint="cs"/>
          <w:rtl/>
        </w:rPr>
      </w:pPr>
      <w:r>
        <w:rPr>
          <w:rStyle w:val="a5"/>
        </w:rPr>
        <w:footnoteRef/>
      </w:r>
      <w:r>
        <w:rPr>
          <w:rtl/>
        </w:rPr>
        <w:t xml:space="preserve"> </w:t>
      </w:r>
      <w:r>
        <w:rPr>
          <w:rFonts w:hint="cs"/>
          <w:rtl/>
        </w:rPr>
        <w:t xml:space="preserve">التنبيه الخامس من تنبيهات العلم الإجماليّ، </w:t>
      </w:r>
      <w:hyperlink r:id="rId1" w:history="1">
        <w:r w:rsidRPr="00FB6541">
          <w:rPr>
            <w:rStyle w:val="Hyperlink"/>
            <w:rFonts w:hint="cs"/>
            <w:rtl/>
          </w:rPr>
          <w:t>مباحث الأصول: الجزء الرابع من القسم الثاني، الصفحة 153 – 162</w:t>
        </w:r>
      </w:hyperlink>
      <w:r>
        <w:rPr>
          <w:rFonts w:hint="cs"/>
          <w:rtl/>
        </w:rPr>
        <w:t>.</w:t>
      </w:r>
    </w:p>
  </w:footnote>
  <w:footnote w:id="2">
    <w:p w14:paraId="56D98F34" w14:textId="4E2ADC57" w:rsidR="00A10DD9" w:rsidRDefault="00A10DD9" w:rsidP="00A10DD9">
      <w:pPr>
        <w:pStyle w:val="a4"/>
        <w:rPr>
          <w:rFonts w:hint="cs"/>
          <w:rtl/>
        </w:rPr>
      </w:pPr>
      <w:r>
        <w:rPr>
          <w:rStyle w:val="a5"/>
        </w:rPr>
        <w:footnoteRef/>
      </w:r>
      <w:r>
        <w:rPr>
          <w:rtl/>
        </w:rPr>
        <w:t xml:space="preserve"> </w:t>
      </w:r>
      <w:r>
        <w:rPr>
          <w:rFonts w:hint="cs"/>
          <w:rtl/>
        </w:rPr>
        <w:t xml:space="preserve">التنبيه الثاني من تنبيهات العلم الإجماليّ، </w:t>
      </w:r>
      <w:hyperlink r:id="rId2" w:history="1">
        <w:r w:rsidRPr="00BF2108">
          <w:rPr>
            <w:rStyle w:val="Hyperlink"/>
            <w:rFonts w:hint="cs"/>
            <w:rtl/>
          </w:rPr>
          <w:t>مباحث الأصول</w:t>
        </w:r>
        <w:r>
          <w:rPr>
            <w:rStyle w:val="Hyperlink"/>
            <w:rFonts w:hint="cs"/>
            <w:rtl/>
          </w:rPr>
          <w:t>:</w:t>
        </w:r>
        <w:r w:rsidRPr="00BF2108">
          <w:rPr>
            <w:rStyle w:val="Hyperlink"/>
            <w:rFonts w:hint="cs"/>
            <w:rtl/>
          </w:rPr>
          <w:t xml:space="preserve"> الجزء الرابع من القسم الثاني، الصفحة 10</w:t>
        </w:r>
        <w:r>
          <w:rPr>
            <w:rStyle w:val="Hyperlink"/>
            <w:rFonts w:hint="cs"/>
            <w:rtl/>
          </w:rPr>
          <w:t>8</w:t>
        </w:r>
      </w:hyperlink>
      <w:r>
        <w:rPr>
          <w:rFonts w:hint="cs"/>
          <w:rtl/>
        </w:rPr>
        <w:t>.</w:t>
      </w:r>
    </w:p>
  </w:footnote>
  <w:footnote w:id="3">
    <w:p w14:paraId="46D5C2F7" w14:textId="368447C3" w:rsidR="008F6335" w:rsidRDefault="008F6335">
      <w:pPr>
        <w:pStyle w:val="a4"/>
        <w:rPr>
          <w:rFonts w:hint="cs"/>
        </w:rPr>
      </w:pPr>
      <w:r>
        <w:rPr>
          <w:rStyle w:val="a5"/>
        </w:rPr>
        <w:footnoteRef/>
      </w:r>
      <w:r>
        <w:rPr>
          <w:rtl/>
        </w:rPr>
        <w:t xml:space="preserve"> </w:t>
      </w:r>
      <w:r>
        <w:rPr>
          <w:rFonts w:hint="cs"/>
          <w:rtl/>
        </w:rPr>
        <w:t xml:space="preserve">راجع بحث انحلال العلم بالأمارات في </w:t>
      </w:r>
      <w:hyperlink r:id="rId3" w:history="1">
        <w:r w:rsidRPr="008F6335">
          <w:rPr>
            <w:rStyle w:val="Hyperlink"/>
            <w:rFonts w:hint="cs"/>
            <w:rtl/>
          </w:rPr>
          <w:t>مباحث الأصول: الجزء الثالث من القسم الثاني، الصفحة 380</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357EABE2" w:rsidR="005C6485" w:rsidRPr="00E87D9D" w:rsidRDefault="004A2C9B" w:rsidP="00F03B57">
    <w:pPr>
      <w:ind w:firstLine="0"/>
      <w:rPr>
        <w:sz w:val="18"/>
        <w:szCs w:val="18"/>
        <w:rtl/>
      </w:rPr>
    </w:pPr>
    <w:r>
      <w:rPr>
        <w:rFonts w:hint="cs"/>
        <w:sz w:val="18"/>
        <w:szCs w:val="18"/>
        <w:rtl/>
      </w:rPr>
      <w:t>1</w:t>
    </w:r>
    <w:r w:rsidR="003468F1">
      <w:rPr>
        <w:rFonts w:hint="cs"/>
        <w:sz w:val="18"/>
        <w:szCs w:val="18"/>
        <w:rtl/>
      </w:rPr>
      <w:t>8</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BF2"/>
    <w:rsid w:val="00057077"/>
    <w:rsid w:val="00057269"/>
    <w:rsid w:val="00057A64"/>
    <w:rsid w:val="00057C05"/>
    <w:rsid w:val="00061DA3"/>
    <w:rsid w:val="000642CF"/>
    <w:rsid w:val="00064ED8"/>
    <w:rsid w:val="00064FFB"/>
    <w:rsid w:val="000709A3"/>
    <w:rsid w:val="00070C33"/>
    <w:rsid w:val="00071C32"/>
    <w:rsid w:val="00073481"/>
    <w:rsid w:val="000734A7"/>
    <w:rsid w:val="00073C5D"/>
    <w:rsid w:val="00073E61"/>
    <w:rsid w:val="000741EA"/>
    <w:rsid w:val="00074598"/>
    <w:rsid w:val="00074A1F"/>
    <w:rsid w:val="00075AA9"/>
    <w:rsid w:val="00077A3A"/>
    <w:rsid w:val="00080952"/>
    <w:rsid w:val="00080E3F"/>
    <w:rsid w:val="00080E7F"/>
    <w:rsid w:val="00080F32"/>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4011"/>
    <w:rsid w:val="000960C4"/>
    <w:rsid w:val="00096571"/>
    <w:rsid w:val="000970E8"/>
    <w:rsid w:val="00097E9E"/>
    <w:rsid w:val="000A0138"/>
    <w:rsid w:val="000A0624"/>
    <w:rsid w:val="000A09CB"/>
    <w:rsid w:val="000A0BBC"/>
    <w:rsid w:val="000A2AAA"/>
    <w:rsid w:val="000A3EE6"/>
    <w:rsid w:val="000A46B3"/>
    <w:rsid w:val="000A4C39"/>
    <w:rsid w:val="000A64E4"/>
    <w:rsid w:val="000A6F9A"/>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58FC"/>
    <w:rsid w:val="000E72F9"/>
    <w:rsid w:val="000E7332"/>
    <w:rsid w:val="000F15EE"/>
    <w:rsid w:val="000F1928"/>
    <w:rsid w:val="000F1992"/>
    <w:rsid w:val="000F26C1"/>
    <w:rsid w:val="000F32CE"/>
    <w:rsid w:val="000F354B"/>
    <w:rsid w:val="000F37D3"/>
    <w:rsid w:val="000F3B6E"/>
    <w:rsid w:val="000F3D4F"/>
    <w:rsid w:val="000F4F1C"/>
    <w:rsid w:val="000F50A1"/>
    <w:rsid w:val="000F6A3B"/>
    <w:rsid w:val="00100C79"/>
    <w:rsid w:val="00101680"/>
    <w:rsid w:val="00101CDC"/>
    <w:rsid w:val="00103DE2"/>
    <w:rsid w:val="00103F90"/>
    <w:rsid w:val="001051C6"/>
    <w:rsid w:val="001058D7"/>
    <w:rsid w:val="00105C50"/>
    <w:rsid w:val="00105FAD"/>
    <w:rsid w:val="00106624"/>
    <w:rsid w:val="0010665E"/>
    <w:rsid w:val="001074AD"/>
    <w:rsid w:val="00107F7C"/>
    <w:rsid w:val="00111AEB"/>
    <w:rsid w:val="00112BCE"/>
    <w:rsid w:val="001132ED"/>
    <w:rsid w:val="0011471A"/>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1AA7"/>
    <w:rsid w:val="001522D2"/>
    <w:rsid w:val="00152E39"/>
    <w:rsid w:val="0015309C"/>
    <w:rsid w:val="00153134"/>
    <w:rsid w:val="00153E00"/>
    <w:rsid w:val="0015406B"/>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72E6"/>
    <w:rsid w:val="00167FC4"/>
    <w:rsid w:val="001705CF"/>
    <w:rsid w:val="00170AFE"/>
    <w:rsid w:val="00170B42"/>
    <w:rsid w:val="001726F0"/>
    <w:rsid w:val="001727F1"/>
    <w:rsid w:val="00172864"/>
    <w:rsid w:val="00173727"/>
    <w:rsid w:val="00173D6D"/>
    <w:rsid w:val="00175320"/>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4D2"/>
    <w:rsid w:val="00187CC1"/>
    <w:rsid w:val="001900B9"/>
    <w:rsid w:val="00190568"/>
    <w:rsid w:val="00190914"/>
    <w:rsid w:val="0019252F"/>
    <w:rsid w:val="0019305F"/>
    <w:rsid w:val="001945C9"/>
    <w:rsid w:val="001961A1"/>
    <w:rsid w:val="00196AC3"/>
    <w:rsid w:val="00196AFA"/>
    <w:rsid w:val="001A00F7"/>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7137"/>
    <w:rsid w:val="001B7637"/>
    <w:rsid w:val="001C0726"/>
    <w:rsid w:val="001C0E83"/>
    <w:rsid w:val="001C1486"/>
    <w:rsid w:val="001C1BBA"/>
    <w:rsid w:val="001C389F"/>
    <w:rsid w:val="001C4055"/>
    <w:rsid w:val="001C5452"/>
    <w:rsid w:val="001C588B"/>
    <w:rsid w:val="001C5D56"/>
    <w:rsid w:val="001C5F62"/>
    <w:rsid w:val="001C7117"/>
    <w:rsid w:val="001C7779"/>
    <w:rsid w:val="001C7CD4"/>
    <w:rsid w:val="001D1F6E"/>
    <w:rsid w:val="001D2486"/>
    <w:rsid w:val="001D3C58"/>
    <w:rsid w:val="001D4CFD"/>
    <w:rsid w:val="001D56A0"/>
    <w:rsid w:val="001D5A0C"/>
    <w:rsid w:val="001D5F13"/>
    <w:rsid w:val="001D696F"/>
    <w:rsid w:val="001D6B95"/>
    <w:rsid w:val="001E0BD5"/>
    <w:rsid w:val="001E261F"/>
    <w:rsid w:val="001E3250"/>
    <w:rsid w:val="001E3F9D"/>
    <w:rsid w:val="001E5CC1"/>
    <w:rsid w:val="001E794A"/>
    <w:rsid w:val="001E7986"/>
    <w:rsid w:val="001F0068"/>
    <w:rsid w:val="001F03C8"/>
    <w:rsid w:val="001F1C87"/>
    <w:rsid w:val="001F319E"/>
    <w:rsid w:val="001F3917"/>
    <w:rsid w:val="001F4B38"/>
    <w:rsid w:val="001F50DB"/>
    <w:rsid w:val="001F595B"/>
    <w:rsid w:val="001F711B"/>
    <w:rsid w:val="00200878"/>
    <w:rsid w:val="00201B45"/>
    <w:rsid w:val="0020445A"/>
    <w:rsid w:val="00204527"/>
    <w:rsid w:val="00204743"/>
    <w:rsid w:val="002063FA"/>
    <w:rsid w:val="0020759C"/>
    <w:rsid w:val="002076C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C36"/>
    <w:rsid w:val="00221F2A"/>
    <w:rsid w:val="00222683"/>
    <w:rsid w:val="002239F6"/>
    <w:rsid w:val="00223AE6"/>
    <w:rsid w:val="0022401B"/>
    <w:rsid w:val="00224C26"/>
    <w:rsid w:val="00224E12"/>
    <w:rsid w:val="002261A0"/>
    <w:rsid w:val="0022677F"/>
    <w:rsid w:val="00226829"/>
    <w:rsid w:val="00226905"/>
    <w:rsid w:val="00226A6E"/>
    <w:rsid w:val="00226ED9"/>
    <w:rsid w:val="00230601"/>
    <w:rsid w:val="00230F92"/>
    <w:rsid w:val="0023167C"/>
    <w:rsid w:val="00233AA0"/>
    <w:rsid w:val="00233C40"/>
    <w:rsid w:val="00233F64"/>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6D89"/>
    <w:rsid w:val="00247462"/>
    <w:rsid w:val="002514C6"/>
    <w:rsid w:val="00252FFA"/>
    <w:rsid w:val="00253D4A"/>
    <w:rsid w:val="00253D88"/>
    <w:rsid w:val="00253EF4"/>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05C"/>
    <w:rsid w:val="00280E6F"/>
    <w:rsid w:val="002847FC"/>
    <w:rsid w:val="00284EFD"/>
    <w:rsid w:val="002851E8"/>
    <w:rsid w:val="0028599B"/>
    <w:rsid w:val="002860DD"/>
    <w:rsid w:val="0028649B"/>
    <w:rsid w:val="00287394"/>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683F"/>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A5A"/>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0FB7"/>
    <w:rsid w:val="002E1B62"/>
    <w:rsid w:val="002E27D1"/>
    <w:rsid w:val="002E2BCD"/>
    <w:rsid w:val="002E3E48"/>
    <w:rsid w:val="002E4A91"/>
    <w:rsid w:val="002E4B7F"/>
    <w:rsid w:val="002E4CB6"/>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43E"/>
    <w:rsid w:val="003054BD"/>
    <w:rsid w:val="0030571F"/>
    <w:rsid w:val="00306B9C"/>
    <w:rsid w:val="00306F9D"/>
    <w:rsid w:val="0030790A"/>
    <w:rsid w:val="00310F3D"/>
    <w:rsid w:val="00312231"/>
    <w:rsid w:val="00312670"/>
    <w:rsid w:val="0031343D"/>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0475"/>
    <w:rsid w:val="0034202E"/>
    <w:rsid w:val="00342CB2"/>
    <w:rsid w:val="00342DBB"/>
    <w:rsid w:val="00343A65"/>
    <w:rsid w:val="003445B4"/>
    <w:rsid w:val="00344DAF"/>
    <w:rsid w:val="00345C10"/>
    <w:rsid w:val="0034640C"/>
    <w:rsid w:val="003468F1"/>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281"/>
    <w:rsid w:val="0037498C"/>
    <w:rsid w:val="0037661A"/>
    <w:rsid w:val="00376834"/>
    <w:rsid w:val="00382274"/>
    <w:rsid w:val="003832D9"/>
    <w:rsid w:val="00383346"/>
    <w:rsid w:val="003839AA"/>
    <w:rsid w:val="003839F6"/>
    <w:rsid w:val="00383F76"/>
    <w:rsid w:val="00385558"/>
    <w:rsid w:val="00385CE1"/>
    <w:rsid w:val="00386973"/>
    <w:rsid w:val="00390656"/>
    <w:rsid w:val="00390FD6"/>
    <w:rsid w:val="00391CC9"/>
    <w:rsid w:val="00392649"/>
    <w:rsid w:val="00394E19"/>
    <w:rsid w:val="00395701"/>
    <w:rsid w:val="0039734F"/>
    <w:rsid w:val="003A1599"/>
    <w:rsid w:val="003A179E"/>
    <w:rsid w:val="003A205C"/>
    <w:rsid w:val="003A4651"/>
    <w:rsid w:val="003A577F"/>
    <w:rsid w:val="003A624A"/>
    <w:rsid w:val="003A6711"/>
    <w:rsid w:val="003A699F"/>
    <w:rsid w:val="003A751D"/>
    <w:rsid w:val="003B0111"/>
    <w:rsid w:val="003B035E"/>
    <w:rsid w:val="003B0A6F"/>
    <w:rsid w:val="003B0C0E"/>
    <w:rsid w:val="003B1F80"/>
    <w:rsid w:val="003B208D"/>
    <w:rsid w:val="003B31F6"/>
    <w:rsid w:val="003B47DF"/>
    <w:rsid w:val="003B639E"/>
    <w:rsid w:val="003B71EC"/>
    <w:rsid w:val="003B78CE"/>
    <w:rsid w:val="003C1A99"/>
    <w:rsid w:val="003C4A9D"/>
    <w:rsid w:val="003C6187"/>
    <w:rsid w:val="003C6CF5"/>
    <w:rsid w:val="003D05A2"/>
    <w:rsid w:val="003D08A3"/>
    <w:rsid w:val="003D0C8B"/>
    <w:rsid w:val="003D0CBB"/>
    <w:rsid w:val="003D1A4F"/>
    <w:rsid w:val="003D1E1A"/>
    <w:rsid w:val="003D273A"/>
    <w:rsid w:val="003D2E68"/>
    <w:rsid w:val="003D2FC5"/>
    <w:rsid w:val="003D40E9"/>
    <w:rsid w:val="003D484A"/>
    <w:rsid w:val="003D4B1D"/>
    <w:rsid w:val="003D502E"/>
    <w:rsid w:val="003D50C3"/>
    <w:rsid w:val="003D719C"/>
    <w:rsid w:val="003D75D2"/>
    <w:rsid w:val="003D7ECB"/>
    <w:rsid w:val="003E0584"/>
    <w:rsid w:val="003E12DB"/>
    <w:rsid w:val="003E1665"/>
    <w:rsid w:val="003E1C13"/>
    <w:rsid w:val="003E29DC"/>
    <w:rsid w:val="003E2A10"/>
    <w:rsid w:val="003E340E"/>
    <w:rsid w:val="003E60D9"/>
    <w:rsid w:val="003E6A25"/>
    <w:rsid w:val="003F027B"/>
    <w:rsid w:val="003F1E8F"/>
    <w:rsid w:val="003F2BF7"/>
    <w:rsid w:val="003F2E54"/>
    <w:rsid w:val="003F36ED"/>
    <w:rsid w:val="003F3D2D"/>
    <w:rsid w:val="003F4320"/>
    <w:rsid w:val="003F4484"/>
    <w:rsid w:val="003F47E6"/>
    <w:rsid w:val="003F4E24"/>
    <w:rsid w:val="003F5AD1"/>
    <w:rsid w:val="003F5B1B"/>
    <w:rsid w:val="003F72B9"/>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17E69"/>
    <w:rsid w:val="0042133D"/>
    <w:rsid w:val="004235E6"/>
    <w:rsid w:val="00425BBE"/>
    <w:rsid w:val="00425E94"/>
    <w:rsid w:val="004264C5"/>
    <w:rsid w:val="004279A0"/>
    <w:rsid w:val="004309CB"/>
    <w:rsid w:val="00431961"/>
    <w:rsid w:val="00432698"/>
    <w:rsid w:val="00433476"/>
    <w:rsid w:val="004353AD"/>
    <w:rsid w:val="00435A36"/>
    <w:rsid w:val="00435EA4"/>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4264"/>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2613"/>
    <w:rsid w:val="004A273D"/>
    <w:rsid w:val="004A2C9B"/>
    <w:rsid w:val="004A2E77"/>
    <w:rsid w:val="004A3F15"/>
    <w:rsid w:val="004A425C"/>
    <w:rsid w:val="004A45F3"/>
    <w:rsid w:val="004A4DE4"/>
    <w:rsid w:val="004A6A10"/>
    <w:rsid w:val="004B090A"/>
    <w:rsid w:val="004B113F"/>
    <w:rsid w:val="004B1490"/>
    <w:rsid w:val="004B1883"/>
    <w:rsid w:val="004B2B34"/>
    <w:rsid w:val="004B32AB"/>
    <w:rsid w:val="004B3304"/>
    <w:rsid w:val="004B349E"/>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6C58"/>
    <w:rsid w:val="00556FFF"/>
    <w:rsid w:val="00557B4E"/>
    <w:rsid w:val="00560B80"/>
    <w:rsid w:val="0056111B"/>
    <w:rsid w:val="00561520"/>
    <w:rsid w:val="00561793"/>
    <w:rsid w:val="00561C69"/>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405F"/>
    <w:rsid w:val="005C47E4"/>
    <w:rsid w:val="005C6485"/>
    <w:rsid w:val="005C6839"/>
    <w:rsid w:val="005C74E7"/>
    <w:rsid w:val="005C7E8A"/>
    <w:rsid w:val="005C7F55"/>
    <w:rsid w:val="005D0993"/>
    <w:rsid w:val="005D0BD9"/>
    <w:rsid w:val="005D158E"/>
    <w:rsid w:val="005D1AF5"/>
    <w:rsid w:val="005D1EA8"/>
    <w:rsid w:val="005D20D5"/>
    <w:rsid w:val="005D28CC"/>
    <w:rsid w:val="005D2FEE"/>
    <w:rsid w:val="005D3C7E"/>
    <w:rsid w:val="005D502A"/>
    <w:rsid w:val="005D5495"/>
    <w:rsid w:val="005D54CE"/>
    <w:rsid w:val="005D634C"/>
    <w:rsid w:val="005D6ECD"/>
    <w:rsid w:val="005D72B3"/>
    <w:rsid w:val="005E0CEC"/>
    <w:rsid w:val="005E0E9A"/>
    <w:rsid w:val="005E0EEE"/>
    <w:rsid w:val="005E0F7C"/>
    <w:rsid w:val="005E0FB7"/>
    <w:rsid w:val="005E20F4"/>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6008A5"/>
    <w:rsid w:val="00601D1A"/>
    <w:rsid w:val="006020CD"/>
    <w:rsid w:val="00602195"/>
    <w:rsid w:val="00602955"/>
    <w:rsid w:val="0060381C"/>
    <w:rsid w:val="006039D5"/>
    <w:rsid w:val="00603D45"/>
    <w:rsid w:val="006047D4"/>
    <w:rsid w:val="00604942"/>
    <w:rsid w:val="00605764"/>
    <w:rsid w:val="00606647"/>
    <w:rsid w:val="00606E80"/>
    <w:rsid w:val="0060764B"/>
    <w:rsid w:val="00607A1D"/>
    <w:rsid w:val="0061020D"/>
    <w:rsid w:val="00610979"/>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0FE9"/>
    <w:rsid w:val="00632238"/>
    <w:rsid w:val="00633A86"/>
    <w:rsid w:val="006346EA"/>
    <w:rsid w:val="00636BAE"/>
    <w:rsid w:val="00640553"/>
    <w:rsid w:val="00640ABE"/>
    <w:rsid w:val="00641C89"/>
    <w:rsid w:val="00644E0C"/>
    <w:rsid w:val="006452DD"/>
    <w:rsid w:val="006463DD"/>
    <w:rsid w:val="0064758F"/>
    <w:rsid w:val="00647B77"/>
    <w:rsid w:val="0065094D"/>
    <w:rsid w:val="00650AE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A60EB"/>
    <w:rsid w:val="006A7963"/>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4056"/>
    <w:rsid w:val="006D4D72"/>
    <w:rsid w:val="006D580B"/>
    <w:rsid w:val="006D5933"/>
    <w:rsid w:val="006D6FCE"/>
    <w:rsid w:val="006E1076"/>
    <w:rsid w:val="006E1C59"/>
    <w:rsid w:val="006E1FB4"/>
    <w:rsid w:val="006E2330"/>
    <w:rsid w:val="006E2A68"/>
    <w:rsid w:val="006E320E"/>
    <w:rsid w:val="006E4633"/>
    <w:rsid w:val="006E4C87"/>
    <w:rsid w:val="006E5A2B"/>
    <w:rsid w:val="006E6873"/>
    <w:rsid w:val="006E6E27"/>
    <w:rsid w:val="006E78A3"/>
    <w:rsid w:val="006F1D6C"/>
    <w:rsid w:val="006F2713"/>
    <w:rsid w:val="006F3573"/>
    <w:rsid w:val="006F3994"/>
    <w:rsid w:val="006F3BEE"/>
    <w:rsid w:val="006F4FE7"/>
    <w:rsid w:val="006F56AE"/>
    <w:rsid w:val="006F5BDF"/>
    <w:rsid w:val="006F6511"/>
    <w:rsid w:val="006F6A21"/>
    <w:rsid w:val="006F7B95"/>
    <w:rsid w:val="0070028E"/>
    <w:rsid w:val="00701740"/>
    <w:rsid w:val="00701EE8"/>
    <w:rsid w:val="0070229D"/>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E2C"/>
    <w:rsid w:val="0079015F"/>
    <w:rsid w:val="0079037D"/>
    <w:rsid w:val="00791096"/>
    <w:rsid w:val="0079182F"/>
    <w:rsid w:val="007924D7"/>
    <w:rsid w:val="00793F36"/>
    <w:rsid w:val="007954ED"/>
    <w:rsid w:val="007965B7"/>
    <w:rsid w:val="00797D19"/>
    <w:rsid w:val="007A3866"/>
    <w:rsid w:val="007A4DEC"/>
    <w:rsid w:val="007A52D7"/>
    <w:rsid w:val="007A5302"/>
    <w:rsid w:val="007A56A9"/>
    <w:rsid w:val="007A5C5C"/>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64C0"/>
    <w:rsid w:val="007E69EC"/>
    <w:rsid w:val="007E72B1"/>
    <w:rsid w:val="007E7391"/>
    <w:rsid w:val="007E76A6"/>
    <w:rsid w:val="007E7B36"/>
    <w:rsid w:val="007F1984"/>
    <w:rsid w:val="007F2536"/>
    <w:rsid w:val="007F354C"/>
    <w:rsid w:val="007F40A9"/>
    <w:rsid w:val="007F567B"/>
    <w:rsid w:val="007F59B8"/>
    <w:rsid w:val="007F5E99"/>
    <w:rsid w:val="007F7446"/>
    <w:rsid w:val="007F7F85"/>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5374"/>
    <w:rsid w:val="008362F1"/>
    <w:rsid w:val="0083669D"/>
    <w:rsid w:val="0083681D"/>
    <w:rsid w:val="008370D0"/>
    <w:rsid w:val="0084035B"/>
    <w:rsid w:val="00841A4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81"/>
    <w:rsid w:val="008703CE"/>
    <w:rsid w:val="008722A5"/>
    <w:rsid w:val="0087280A"/>
    <w:rsid w:val="0087577D"/>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5146"/>
    <w:rsid w:val="008B6EB4"/>
    <w:rsid w:val="008B6F8F"/>
    <w:rsid w:val="008B79FD"/>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5FD3"/>
    <w:rsid w:val="008E7CB0"/>
    <w:rsid w:val="008F02D7"/>
    <w:rsid w:val="008F2B04"/>
    <w:rsid w:val="008F5018"/>
    <w:rsid w:val="008F5E55"/>
    <w:rsid w:val="008F633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5EC1"/>
    <w:rsid w:val="00916218"/>
    <w:rsid w:val="0091634B"/>
    <w:rsid w:val="009173C7"/>
    <w:rsid w:val="009200B3"/>
    <w:rsid w:val="0092070B"/>
    <w:rsid w:val="00920FAA"/>
    <w:rsid w:val="00920FB8"/>
    <w:rsid w:val="009211E6"/>
    <w:rsid w:val="00923192"/>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7C90"/>
    <w:rsid w:val="00950038"/>
    <w:rsid w:val="00951613"/>
    <w:rsid w:val="00952BE6"/>
    <w:rsid w:val="0095489E"/>
    <w:rsid w:val="009554D3"/>
    <w:rsid w:val="00955769"/>
    <w:rsid w:val="00956849"/>
    <w:rsid w:val="00957A5A"/>
    <w:rsid w:val="009608D8"/>
    <w:rsid w:val="00961219"/>
    <w:rsid w:val="00961CB1"/>
    <w:rsid w:val="00963BE3"/>
    <w:rsid w:val="0096413C"/>
    <w:rsid w:val="009653B6"/>
    <w:rsid w:val="00965BDA"/>
    <w:rsid w:val="00965D9C"/>
    <w:rsid w:val="00974873"/>
    <w:rsid w:val="00976CE9"/>
    <w:rsid w:val="00976DB4"/>
    <w:rsid w:val="0097703C"/>
    <w:rsid w:val="00977D25"/>
    <w:rsid w:val="00980901"/>
    <w:rsid w:val="009814D5"/>
    <w:rsid w:val="00981EB3"/>
    <w:rsid w:val="00982583"/>
    <w:rsid w:val="00982AE9"/>
    <w:rsid w:val="009833E6"/>
    <w:rsid w:val="009855D0"/>
    <w:rsid w:val="0098596F"/>
    <w:rsid w:val="00986647"/>
    <w:rsid w:val="0098671D"/>
    <w:rsid w:val="009877DA"/>
    <w:rsid w:val="0099122C"/>
    <w:rsid w:val="00992510"/>
    <w:rsid w:val="00992A9E"/>
    <w:rsid w:val="009932D1"/>
    <w:rsid w:val="00993A56"/>
    <w:rsid w:val="00994BA9"/>
    <w:rsid w:val="00996573"/>
    <w:rsid w:val="0099682B"/>
    <w:rsid w:val="00997040"/>
    <w:rsid w:val="00997B57"/>
    <w:rsid w:val="009A0300"/>
    <w:rsid w:val="009A1E6A"/>
    <w:rsid w:val="009A33BA"/>
    <w:rsid w:val="009A3B13"/>
    <w:rsid w:val="009A3DD8"/>
    <w:rsid w:val="009A3E32"/>
    <w:rsid w:val="009A4D4E"/>
    <w:rsid w:val="009A5484"/>
    <w:rsid w:val="009A6218"/>
    <w:rsid w:val="009A79B2"/>
    <w:rsid w:val="009B0146"/>
    <w:rsid w:val="009B040C"/>
    <w:rsid w:val="009B0525"/>
    <w:rsid w:val="009B26AF"/>
    <w:rsid w:val="009B36A9"/>
    <w:rsid w:val="009B3A13"/>
    <w:rsid w:val="009B3E14"/>
    <w:rsid w:val="009B4A65"/>
    <w:rsid w:val="009B79BF"/>
    <w:rsid w:val="009C0108"/>
    <w:rsid w:val="009C1993"/>
    <w:rsid w:val="009C1D23"/>
    <w:rsid w:val="009C38B2"/>
    <w:rsid w:val="009C3DB0"/>
    <w:rsid w:val="009C43A7"/>
    <w:rsid w:val="009C46B0"/>
    <w:rsid w:val="009C50A2"/>
    <w:rsid w:val="009C5360"/>
    <w:rsid w:val="009C6282"/>
    <w:rsid w:val="009C68F8"/>
    <w:rsid w:val="009C7781"/>
    <w:rsid w:val="009C7F8E"/>
    <w:rsid w:val="009D0882"/>
    <w:rsid w:val="009D0C3E"/>
    <w:rsid w:val="009D4ADA"/>
    <w:rsid w:val="009D5C16"/>
    <w:rsid w:val="009D628B"/>
    <w:rsid w:val="009E09A0"/>
    <w:rsid w:val="009E0B75"/>
    <w:rsid w:val="009E1335"/>
    <w:rsid w:val="009E1B16"/>
    <w:rsid w:val="009E2BAD"/>
    <w:rsid w:val="009E32B0"/>
    <w:rsid w:val="009E50D2"/>
    <w:rsid w:val="009E5357"/>
    <w:rsid w:val="009E64AB"/>
    <w:rsid w:val="009E6CD9"/>
    <w:rsid w:val="009F0723"/>
    <w:rsid w:val="009F21CF"/>
    <w:rsid w:val="009F2676"/>
    <w:rsid w:val="009F2B7B"/>
    <w:rsid w:val="009F367F"/>
    <w:rsid w:val="009F3BE5"/>
    <w:rsid w:val="009F43C0"/>
    <w:rsid w:val="009F47C2"/>
    <w:rsid w:val="009F528D"/>
    <w:rsid w:val="009F60BF"/>
    <w:rsid w:val="009F66AC"/>
    <w:rsid w:val="009F6AB0"/>
    <w:rsid w:val="009F6D81"/>
    <w:rsid w:val="009F71A3"/>
    <w:rsid w:val="009F7FEF"/>
    <w:rsid w:val="00A00242"/>
    <w:rsid w:val="00A003C0"/>
    <w:rsid w:val="00A00A6F"/>
    <w:rsid w:val="00A01E2C"/>
    <w:rsid w:val="00A01E4A"/>
    <w:rsid w:val="00A02197"/>
    <w:rsid w:val="00A02494"/>
    <w:rsid w:val="00A05D72"/>
    <w:rsid w:val="00A06DB0"/>
    <w:rsid w:val="00A07266"/>
    <w:rsid w:val="00A0735C"/>
    <w:rsid w:val="00A07A90"/>
    <w:rsid w:val="00A1044D"/>
    <w:rsid w:val="00A107A4"/>
    <w:rsid w:val="00A10B3C"/>
    <w:rsid w:val="00A10DD9"/>
    <w:rsid w:val="00A114CE"/>
    <w:rsid w:val="00A12374"/>
    <w:rsid w:val="00A133C6"/>
    <w:rsid w:val="00A13F3D"/>
    <w:rsid w:val="00A14B3E"/>
    <w:rsid w:val="00A14CC1"/>
    <w:rsid w:val="00A15936"/>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0426"/>
    <w:rsid w:val="00A321D8"/>
    <w:rsid w:val="00A33128"/>
    <w:rsid w:val="00A34CC9"/>
    <w:rsid w:val="00A36729"/>
    <w:rsid w:val="00A36B9D"/>
    <w:rsid w:val="00A3790D"/>
    <w:rsid w:val="00A379BE"/>
    <w:rsid w:val="00A40D3E"/>
    <w:rsid w:val="00A42DC1"/>
    <w:rsid w:val="00A42FEB"/>
    <w:rsid w:val="00A436C8"/>
    <w:rsid w:val="00A445BA"/>
    <w:rsid w:val="00A45031"/>
    <w:rsid w:val="00A45B13"/>
    <w:rsid w:val="00A4702D"/>
    <w:rsid w:val="00A47FC5"/>
    <w:rsid w:val="00A503B2"/>
    <w:rsid w:val="00A50590"/>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EF5"/>
    <w:rsid w:val="00AB7F95"/>
    <w:rsid w:val="00AC1D28"/>
    <w:rsid w:val="00AC29C3"/>
    <w:rsid w:val="00AC334B"/>
    <w:rsid w:val="00AC3F7A"/>
    <w:rsid w:val="00AC5593"/>
    <w:rsid w:val="00AC7A13"/>
    <w:rsid w:val="00AD02D7"/>
    <w:rsid w:val="00AD14B2"/>
    <w:rsid w:val="00AD1EEA"/>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6C"/>
    <w:rsid w:val="00B247EA"/>
    <w:rsid w:val="00B24B12"/>
    <w:rsid w:val="00B2548F"/>
    <w:rsid w:val="00B2660F"/>
    <w:rsid w:val="00B267D0"/>
    <w:rsid w:val="00B27255"/>
    <w:rsid w:val="00B27550"/>
    <w:rsid w:val="00B27DDC"/>
    <w:rsid w:val="00B30112"/>
    <w:rsid w:val="00B30A97"/>
    <w:rsid w:val="00B321BB"/>
    <w:rsid w:val="00B331E4"/>
    <w:rsid w:val="00B33268"/>
    <w:rsid w:val="00B33362"/>
    <w:rsid w:val="00B34196"/>
    <w:rsid w:val="00B345A6"/>
    <w:rsid w:val="00B345CB"/>
    <w:rsid w:val="00B34DC6"/>
    <w:rsid w:val="00B35C1E"/>
    <w:rsid w:val="00B35ECA"/>
    <w:rsid w:val="00B36A1F"/>
    <w:rsid w:val="00B36F42"/>
    <w:rsid w:val="00B36F4F"/>
    <w:rsid w:val="00B4095F"/>
    <w:rsid w:val="00B417E5"/>
    <w:rsid w:val="00B42EFE"/>
    <w:rsid w:val="00B42FDB"/>
    <w:rsid w:val="00B43766"/>
    <w:rsid w:val="00B447A1"/>
    <w:rsid w:val="00B45079"/>
    <w:rsid w:val="00B45BA2"/>
    <w:rsid w:val="00B45FF2"/>
    <w:rsid w:val="00B46A84"/>
    <w:rsid w:val="00B47F00"/>
    <w:rsid w:val="00B50D4A"/>
    <w:rsid w:val="00B51120"/>
    <w:rsid w:val="00B514E7"/>
    <w:rsid w:val="00B516C0"/>
    <w:rsid w:val="00B51735"/>
    <w:rsid w:val="00B5391C"/>
    <w:rsid w:val="00B53A0A"/>
    <w:rsid w:val="00B53B08"/>
    <w:rsid w:val="00B5407C"/>
    <w:rsid w:val="00B54EBB"/>
    <w:rsid w:val="00B56326"/>
    <w:rsid w:val="00B5632D"/>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05CD"/>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504F"/>
    <w:rsid w:val="00B96481"/>
    <w:rsid w:val="00B9735A"/>
    <w:rsid w:val="00B97B4F"/>
    <w:rsid w:val="00BA08DB"/>
    <w:rsid w:val="00BA0A4E"/>
    <w:rsid w:val="00BA0BC8"/>
    <w:rsid w:val="00BA16AC"/>
    <w:rsid w:val="00BA1A48"/>
    <w:rsid w:val="00BA1EA2"/>
    <w:rsid w:val="00BA20B1"/>
    <w:rsid w:val="00BA27AB"/>
    <w:rsid w:val="00BA49A8"/>
    <w:rsid w:val="00BA4F45"/>
    <w:rsid w:val="00BA5084"/>
    <w:rsid w:val="00BB086C"/>
    <w:rsid w:val="00BB174C"/>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439A"/>
    <w:rsid w:val="00BC4480"/>
    <w:rsid w:val="00BC4759"/>
    <w:rsid w:val="00BC62B8"/>
    <w:rsid w:val="00BC6560"/>
    <w:rsid w:val="00BC6C7B"/>
    <w:rsid w:val="00BC726E"/>
    <w:rsid w:val="00BC7396"/>
    <w:rsid w:val="00BC7B92"/>
    <w:rsid w:val="00BD00E3"/>
    <w:rsid w:val="00BD1EA3"/>
    <w:rsid w:val="00BD25DB"/>
    <w:rsid w:val="00BD2D86"/>
    <w:rsid w:val="00BD3B98"/>
    <w:rsid w:val="00BD3CC9"/>
    <w:rsid w:val="00BD4AB3"/>
    <w:rsid w:val="00BD53A2"/>
    <w:rsid w:val="00BD6134"/>
    <w:rsid w:val="00BD6BB8"/>
    <w:rsid w:val="00BD6FDA"/>
    <w:rsid w:val="00BE001E"/>
    <w:rsid w:val="00BE0244"/>
    <w:rsid w:val="00BE0372"/>
    <w:rsid w:val="00BE1AC6"/>
    <w:rsid w:val="00BE1F79"/>
    <w:rsid w:val="00BE272C"/>
    <w:rsid w:val="00BE426C"/>
    <w:rsid w:val="00BE538B"/>
    <w:rsid w:val="00BE64CF"/>
    <w:rsid w:val="00BE68BB"/>
    <w:rsid w:val="00BE6CC3"/>
    <w:rsid w:val="00BE6FF7"/>
    <w:rsid w:val="00BF0B95"/>
    <w:rsid w:val="00BF2108"/>
    <w:rsid w:val="00BF35FE"/>
    <w:rsid w:val="00BF4DAF"/>
    <w:rsid w:val="00BF5048"/>
    <w:rsid w:val="00BF5813"/>
    <w:rsid w:val="00BF6632"/>
    <w:rsid w:val="00BF7E53"/>
    <w:rsid w:val="00C001C6"/>
    <w:rsid w:val="00C01465"/>
    <w:rsid w:val="00C03AA1"/>
    <w:rsid w:val="00C03CAF"/>
    <w:rsid w:val="00C043CF"/>
    <w:rsid w:val="00C11B60"/>
    <w:rsid w:val="00C11D6D"/>
    <w:rsid w:val="00C139F1"/>
    <w:rsid w:val="00C143F3"/>
    <w:rsid w:val="00C1543B"/>
    <w:rsid w:val="00C16AC6"/>
    <w:rsid w:val="00C16C12"/>
    <w:rsid w:val="00C202BB"/>
    <w:rsid w:val="00C20730"/>
    <w:rsid w:val="00C211E9"/>
    <w:rsid w:val="00C213C1"/>
    <w:rsid w:val="00C22820"/>
    <w:rsid w:val="00C23627"/>
    <w:rsid w:val="00C2418D"/>
    <w:rsid w:val="00C248A2"/>
    <w:rsid w:val="00C25E2E"/>
    <w:rsid w:val="00C26086"/>
    <w:rsid w:val="00C26371"/>
    <w:rsid w:val="00C26395"/>
    <w:rsid w:val="00C273EE"/>
    <w:rsid w:val="00C303BF"/>
    <w:rsid w:val="00C30668"/>
    <w:rsid w:val="00C31184"/>
    <w:rsid w:val="00C31F45"/>
    <w:rsid w:val="00C32653"/>
    <w:rsid w:val="00C328DE"/>
    <w:rsid w:val="00C32F81"/>
    <w:rsid w:val="00C33897"/>
    <w:rsid w:val="00C338C3"/>
    <w:rsid w:val="00C3517B"/>
    <w:rsid w:val="00C36D23"/>
    <w:rsid w:val="00C413BA"/>
    <w:rsid w:val="00C4192B"/>
    <w:rsid w:val="00C43694"/>
    <w:rsid w:val="00C43E07"/>
    <w:rsid w:val="00C44CFE"/>
    <w:rsid w:val="00C45806"/>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20A4"/>
    <w:rsid w:val="00C7264A"/>
    <w:rsid w:val="00C72E20"/>
    <w:rsid w:val="00C73640"/>
    <w:rsid w:val="00C739CA"/>
    <w:rsid w:val="00C741B1"/>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87876"/>
    <w:rsid w:val="00C91D22"/>
    <w:rsid w:val="00C92295"/>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BBD"/>
    <w:rsid w:val="00D13946"/>
    <w:rsid w:val="00D15251"/>
    <w:rsid w:val="00D15A6E"/>
    <w:rsid w:val="00D15CDE"/>
    <w:rsid w:val="00D217C8"/>
    <w:rsid w:val="00D23623"/>
    <w:rsid w:val="00D253EF"/>
    <w:rsid w:val="00D2579E"/>
    <w:rsid w:val="00D26044"/>
    <w:rsid w:val="00D266FB"/>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82B"/>
    <w:rsid w:val="00D6290D"/>
    <w:rsid w:val="00D63250"/>
    <w:rsid w:val="00D64249"/>
    <w:rsid w:val="00D64B48"/>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5246"/>
    <w:rsid w:val="00D856E6"/>
    <w:rsid w:val="00D85BF2"/>
    <w:rsid w:val="00D860A4"/>
    <w:rsid w:val="00D86454"/>
    <w:rsid w:val="00D87589"/>
    <w:rsid w:val="00D90470"/>
    <w:rsid w:val="00D90664"/>
    <w:rsid w:val="00D91388"/>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3E6F"/>
    <w:rsid w:val="00DD3F3B"/>
    <w:rsid w:val="00DD403A"/>
    <w:rsid w:val="00DD534A"/>
    <w:rsid w:val="00DD5385"/>
    <w:rsid w:val="00DD7E24"/>
    <w:rsid w:val="00DE0677"/>
    <w:rsid w:val="00DE07D6"/>
    <w:rsid w:val="00DE195A"/>
    <w:rsid w:val="00DE19F4"/>
    <w:rsid w:val="00DE1C08"/>
    <w:rsid w:val="00DE1F9A"/>
    <w:rsid w:val="00DE4160"/>
    <w:rsid w:val="00DE4FB6"/>
    <w:rsid w:val="00DF0369"/>
    <w:rsid w:val="00DF147A"/>
    <w:rsid w:val="00DF1598"/>
    <w:rsid w:val="00DF35A3"/>
    <w:rsid w:val="00DF4375"/>
    <w:rsid w:val="00DF565D"/>
    <w:rsid w:val="00DF598A"/>
    <w:rsid w:val="00DF5AB3"/>
    <w:rsid w:val="00DF5FF3"/>
    <w:rsid w:val="00DF6C9A"/>
    <w:rsid w:val="00DF6FA1"/>
    <w:rsid w:val="00E00582"/>
    <w:rsid w:val="00E0192C"/>
    <w:rsid w:val="00E04B3A"/>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37855"/>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AB2"/>
    <w:rsid w:val="00E52E64"/>
    <w:rsid w:val="00E55228"/>
    <w:rsid w:val="00E55607"/>
    <w:rsid w:val="00E559F0"/>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F23"/>
    <w:rsid w:val="00E94ECC"/>
    <w:rsid w:val="00E94F66"/>
    <w:rsid w:val="00E94FF9"/>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51B7"/>
    <w:rsid w:val="00EF67CC"/>
    <w:rsid w:val="00F0081C"/>
    <w:rsid w:val="00F01227"/>
    <w:rsid w:val="00F034B3"/>
    <w:rsid w:val="00F03B57"/>
    <w:rsid w:val="00F04576"/>
    <w:rsid w:val="00F05D65"/>
    <w:rsid w:val="00F06066"/>
    <w:rsid w:val="00F068D7"/>
    <w:rsid w:val="00F07425"/>
    <w:rsid w:val="00F10C03"/>
    <w:rsid w:val="00F116E5"/>
    <w:rsid w:val="00F123B4"/>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D9"/>
    <w:rsid w:val="00F5137E"/>
    <w:rsid w:val="00F53130"/>
    <w:rsid w:val="00F536FF"/>
    <w:rsid w:val="00F53E99"/>
    <w:rsid w:val="00F549E1"/>
    <w:rsid w:val="00F54A62"/>
    <w:rsid w:val="00F54D96"/>
    <w:rsid w:val="00F54F57"/>
    <w:rsid w:val="00F55F77"/>
    <w:rsid w:val="00F567C0"/>
    <w:rsid w:val="00F5680F"/>
    <w:rsid w:val="00F56B49"/>
    <w:rsid w:val="00F56B4F"/>
    <w:rsid w:val="00F572A3"/>
    <w:rsid w:val="00F574C6"/>
    <w:rsid w:val="00F57A00"/>
    <w:rsid w:val="00F6081B"/>
    <w:rsid w:val="00F61076"/>
    <w:rsid w:val="00F62E54"/>
    <w:rsid w:val="00F6396C"/>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801BE"/>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D1B"/>
    <w:rsid w:val="00F94EC4"/>
    <w:rsid w:val="00F956B2"/>
    <w:rsid w:val="00F95CFE"/>
    <w:rsid w:val="00F96B00"/>
    <w:rsid w:val="00F971A0"/>
    <w:rsid w:val="00F977DD"/>
    <w:rsid w:val="00F97FD9"/>
    <w:rsid w:val="00FA04BF"/>
    <w:rsid w:val="00FA0FC8"/>
    <w:rsid w:val="00FA17A0"/>
    <w:rsid w:val="00FA222D"/>
    <w:rsid w:val="00FA29FA"/>
    <w:rsid w:val="00FA2A54"/>
    <w:rsid w:val="00FA2E09"/>
    <w:rsid w:val="00FA55D8"/>
    <w:rsid w:val="00FA5AEF"/>
    <w:rsid w:val="00FA7C5D"/>
    <w:rsid w:val="00FB31C6"/>
    <w:rsid w:val="00FB39BE"/>
    <w:rsid w:val="00FB4095"/>
    <w:rsid w:val="00FB461A"/>
    <w:rsid w:val="00FB4999"/>
    <w:rsid w:val="00FB4D9F"/>
    <w:rsid w:val="00FB4E34"/>
    <w:rsid w:val="00FB5E1A"/>
    <w:rsid w:val="00FB5E44"/>
    <w:rsid w:val="00FB6541"/>
    <w:rsid w:val="00FB71A0"/>
    <w:rsid w:val="00FB77C6"/>
    <w:rsid w:val="00FC1814"/>
    <w:rsid w:val="00FC52C2"/>
    <w:rsid w:val="00FC5F8B"/>
    <w:rsid w:val="00FC6706"/>
    <w:rsid w:val="00FC67ED"/>
    <w:rsid w:val="00FC79B6"/>
    <w:rsid w:val="00FC7DF8"/>
    <w:rsid w:val="00FD14AC"/>
    <w:rsid w:val="00FD20CC"/>
    <w:rsid w:val="00FD2706"/>
    <w:rsid w:val="00FD2BAF"/>
    <w:rsid w:val="00FD30A8"/>
    <w:rsid w:val="00FD3C7F"/>
    <w:rsid w:val="00FD523C"/>
    <w:rsid w:val="00FD5689"/>
    <w:rsid w:val="00FD67A9"/>
    <w:rsid w:val="00FD69E4"/>
    <w:rsid w:val="00FD6F26"/>
    <w:rsid w:val="00FD7D5B"/>
    <w:rsid w:val="00FE08FB"/>
    <w:rsid w:val="00FE0EC7"/>
    <w:rsid w:val="00FE3047"/>
    <w:rsid w:val="00FE3E66"/>
    <w:rsid w:val="00FE649B"/>
    <w:rsid w:val="00FE7023"/>
    <w:rsid w:val="00FE7502"/>
    <w:rsid w:val="00FF13E9"/>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3104/3/380/%D8%A7%D9%84%D8%A5%D9%84%D8%B2%D8%A7%D9%85%D9%8A%D9%91%D8%A9" TargetMode="External"/><Relationship Id="rId2" Type="http://schemas.openxmlformats.org/officeDocument/2006/relationships/hyperlink" Target="https://lib.eshia.ir/13104/4/108/%D8%A7%D9%84%D8%A3%D8%AE%D8%A8%D8%A7%D8%B1%D9%8A%D9%8A%D9%86" TargetMode="External"/><Relationship Id="rId1" Type="http://schemas.openxmlformats.org/officeDocument/2006/relationships/hyperlink" Target="https://lib.eshia.ir/13104/4/153/%D8%A7%D9%84%D8%AE%D8%A7%D9%85%D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4600</TotalTime>
  <Pages>3</Pages>
  <Words>1009</Words>
  <Characters>5755</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442</cp:revision>
  <cp:lastPrinted>2023-12-09T08:15:00Z</cp:lastPrinted>
  <dcterms:created xsi:type="dcterms:W3CDTF">2023-10-18T07:30:00Z</dcterms:created>
  <dcterms:modified xsi:type="dcterms:W3CDTF">2023-12-20T07:26:00Z</dcterms:modified>
  <dc:language>العربية</dc:language>
</cp:coreProperties>
</file>