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5E1C294F"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9699589" w14:textId="7B0E74A5" w:rsidR="009B1E94" w:rsidRPr="009B1E94" w:rsidRDefault="009B1E94" w:rsidP="00F44B2D">
      <w:pPr>
        <w:rPr>
          <w:b/>
          <w:bCs/>
          <w:sz w:val="24"/>
          <w:szCs w:val="24"/>
          <w:rtl/>
        </w:rPr>
      </w:pPr>
      <w:r w:rsidRPr="009B1E94">
        <w:rPr>
          <w:rFonts w:hint="cs"/>
          <w:b/>
          <w:bCs/>
          <w:sz w:val="24"/>
          <w:szCs w:val="24"/>
          <w:rtl/>
        </w:rPr>
        <w:t>التقدّم والتأخّر الرتبيّ بين باء والثوب في نظر المحقّق النائينيّ</w:t>
      </w:r>
    </w:p>
    <w:p w14:paraId="177C43C4" w14:textId="4EA0BFD3" w:rsidR="00B819CB" w:rsidRDefault="00B819CB" w:rsidP="00A15E7C">
      <w:pPr>
        <w:rPr>
          <w:rtl/>
        </w:rPr>
      </w:pPr>
      <w:r>
        <w:rPr>
          <w:rFonts w:cs="Calibri"/>
          <w:rtl/>
        </w:rPr>
        <w:t xml:space="preserve">بعد أن وضّحنا أنّ تطبيق تقريب المحققّ النائينيّ رضوان الله تعالى عليه على ما نحن فيه غير صحيح </w:t>
      </w:r>
      <w:r>
        <w:rPr>
          <w:rFonts w:cs="Calibri" w:hint="cs"/>
          <w:rtl/>
        </w:rPr>
        <w:t>ضمن</w:t>
      </w:r>
      <w:r>
        <w:rPr>
          <w:rFonts w:cs="Calibri"/>
          <w:rtl/>
        </w:rPr>
        <w:t xml:space="preserve"> مثال </w:t>
      </w:r>
      <w:r w:rsidR="00A15E7C">
        <w:rPr>
          <w:rFonts w:cs="Calibri" w:hint="cs"/>
          <w:rtl/>
        </w:rPr>
        <w:t>الأواني</w:t>
      </w:r>
      <w:r>
        <w:rPr>
          <w:rFonts w:cs="Calibri"/>
          <w:rtl/>
        </w:rPr>
        <w:t xml:space="preserve"> الثلاثة، يشير أستاذنا الشهيد رضوان الله تعالى عليه إلى عبارة وردت في </w:t>
      </w:r>
      <w:r w:rsidRPr="00AB7C9C">
        <w:rPr>
          <w:rFonts w:cs="Calibri"/>
          <w:rtl/>
        </w:rPr>
        <w:t>أجود التقريرات</w:t>
      </w:r>
      <w:r w:rsidR="005876BF">
        <w:rPr>
          <w:rStyle w:val="a5"/>
          <w:rFonts w:cs="Calibri"/>
          <w:rtl/>
        </w:rPr>
        <w:footnoteReference w:id="1"/>
      </w:r>
      <w:r>
        <w:rPr>
          <w:rFonts w:cs="Calibri"/>
          <w:rtl/>
        </w:rPr>
        <w:t xml:space="preserve"> </w:t>
      </w:r>
      <w:r w:rsidR="00AB7C9C">
        <w:rPr>
          <w:rFonts w:cs="Calibri" w:hint="cs"/>
          <w:rtl/>
        </w:rPr>
        <w:t xml:space="preserve">(أي </w:t>
      </w:r>
      <w:r>
        <w:rPr>
          <w:rFonts w:cs="Calibri"/>
          <w:rtl/>
        </w:rPr>
        <w:t>تقرير السيّد الخوئيّ للشيخ النائينيّ رضوان الله تعالى عليهما</w:t>
      </w:r>
      <w:r w:rsidR="00AB7C9C">
        <w:rPr>
          <w:rFonts w:cs="Calibri" w:hint="cs"/>
          <w:rtl/>
        </w:rPr>
        <w:t>)</w:t>
      </w:r>
      <w:r>
        <w:rPr>
          <w:rFonts w:cs="Calibri"/>
          <w:rtl/>
        </w:rPr>
        <w:t xml:space="preserve"> ويعبّر عنها أستاذنا الشهيد بأنّها </w:t>
      </w:r>
      <w:r w:rsidR="005876BF">
        <w:rPr>
          <w:rFonts w:cs="Calibri" w:hint="cs"/>
          <w:rtl/>
        </w:rPr>
        <w:t>«</w:t>
      </w:r>
      <w:r>
        <w:rPr>
          <w:rFonts w:cs="Calibri"/>
          <w:rtl/>
        </w:rPr>
        <w:t>من الطريف ما جاء في عبارة أجود التقريرات</w:t>
      </w:r>
      <w:r w:rsidR="005876BF">
        <w:rPr>
          <w:rFonts w:cs="Calibri" w:hint="cs"/>
          <w:rtl/>
        </w:rPr>
        <w:t>»</w:t>
      </w:r>
      <w:r w:rsidR="00AB7C9C">
        <w:rPr>
          <w:rFonts w:cs="Calibri" w:hint="cs"/>
          <w:rtl/>
        </w:rPr>
        <w:t>،</w:t>
      </w:r>
      <w:r>
        <w:rPr>
          <w:rFonts w:cs="Calibri"/>
          <w:rtl/>
        </w:rPr>
        <w:t xml:space="preserve"> </w:t>
      </w:r>
      <w:r w:rsidR="00AB7C9C">
        <w:rPr>
          <w:rFonts w:cs="Calibri" w:hint="cs"/>
          <w:rtl/>
        </w:rPr>
        <w:t>وهي عبارة</w:t>
      </w:r>
      <w:r>
        <w:rPr>
          <w:rFonts w:cs="Calibri"/>
          <w:rtl/>
        </w:rPr>
        <w:t xml:space="preserve"> </w:t>
      </w:r>
      <w:r w:rsidR="00AB7C9C">
        <w:rPr>
          <w:rFonts w:cs="Calibri" w:hint="cs"/>
          <w:rtl/>
        </w:rPr>
        <w:t>عن</w:t>
      </w:r>
      <w:r>
        <w:rPr>
          <w:rFonts w:cs="Calibri"/>
          <w:rtl/>
        </w:rPr>
        <w:t xml:space="preserve"> بيان مقدّمة قصيرة ثم الاستنتاج منها.</w:t>
      </w:r>
    </w:p>
    <w:p w14:paraId="1540803C" w14:textId="7BAF6FF2" w:rsidR="00B819CB" w:rsidRDefault="00B819CB" w:rsidP="00B819CB">
      <w:pPr>
        <w:rPr>
          <w:rtl/>
        </w:rPr>
      </w:pPr>
      <w:r>
        <w:rPr>
          <w:rFonts w:cs="Calibri"/>
          <w:rtl/>
        </w:rPr>
        <w:t>والمقدّمة القصيرة ترتبط بمادّتي الافتراق والاستنتاج يرتبط بمادّة الاشتراك</w:t>
      </w:r>
      <w:r w:rsidR="000D624A">
        <w:rPr>
          <w:rFonts w:cs="Calibri" w:hint="cs"/>
          <w:rtl/>
        </w:rPr>
        <w:t>،</w:t>
      </w:r>
      <w:r>
        <w:rPr>
          <w:rFonts w:cs="Calibri"/>
          <w:rtl/>
        </w:rPr>
        <w:t xml:space="preserve"> فكيف يمكن ذلك؟</w:t>
      </w:r>
    </w:p>
    <w:p w14:paraId="287BF81A" w14:textId="77777777" w:rsidR="00BD183B" w:rsidRDefault="000D624A" w:rsidP="00B819CB">
      <w:pPr>
        <w:rPr>
          <w:rFonts w:cs="Calibri"/>
          <w:rtl/>
        </w:rPr>
      </w:pPr>
      <w:r>
        <w:rPr>
          <w:rFonts w:cs="Calibri" w:hint="cs"/>
          <w:rtl/>
        </w:rPr>
        <w:t>ف</w:t>
      </w:r>
      <w:r w:rsidR="00B819CB">
        <w:rPr>
          <w:rFonts w:cs="Calibri"/>
          <w:rtl/>
        </w:rPr>
        <w:t xml:space="preserve">المقدّمة هي أنّ </w:t>
      </w:r>
      <w:r>
        <w:rPr>
          <w:rFonts w:cs="Calibri" w:hint="cs"/>
          <w:rtl/>
        </w:rPr>
        <w:t xml:space="preserve">للعلم الإجماليّ الأوّل </w:t>
      </w:r>
      <w:r w:rsidR="00B819CB">
        <w:rPr>
          <w:rFonts w:cs="Calibri"/>
          <w:rtl/>
        </w:rPr>
        <w:t>طرف</w:t>
      </w:r>
      <w:r>
        <w:rPr>
          <w:rFonts w:cs="Calibri" w:hint="cs"/>
          <w:rtl/>
        </w:rPr>
        <w:t>ان</w:t>
      </w:r>
      <w:r w:rsidR="00B819CB">
        <w:rPr>
          <w:rFonts w:cs="Calibri"/>
          <w:rtl/>
        </w:rPr>
        <w:t xml:space="preserve"> </w:t>
      </w:r>
      <w:r>
        <w:rPr>
          <w:rFonts w:cs="Calibri" w:hint="cs"/>
          <w:rtl/>
        </w:rPr>
        <w:t xml:space="preserve">هما </w:t>
      </w:r>
      <w:r w:rsidR="00B46B08">
        <w:rPr>
          <w:rFonts w:cs="Calibri" w:hint="cs"/>
          <w:rtl/>
        </w:rPr>
        <w:t>«</w:t>
      </w:r>
      <w:r>
        <w:rPr>
          <w:rFonts w:cs="Calibri"/>
          <w:rtl/>
        </w:rPr>
        <w:t>ألف</w:t>
      </w:r>
      <w:r w:rsidR="00B46B08">
        <w:rPr>
          <w:rFonts w:cs="Calibri" w:hint="cs"/>
          <w:rtl/>
        </w:rPr>
        <w:t>»</w:t>
      </w:r>
      <w:r>
        <w:rPr>
          <w:rFonts w:cs="Calibri"/>
          <w:rtl/>
        </w:rPr>
        <w:t xml:space="preserve"> و</w:t>
      </w:r>
      <w:r w:rsidR="00B46B08">
        <w:rPr>
          <w:rFonts w:cs="Calibri" w:hint="cs"/>
          <w:rtl/>
        </w:rPr>
        <w:t>«</w:t>
      </w:r>
      <w:r>
        <w:rPr>
          <w:rFonts w:cs="Calibri"/>
          <w:rtl/>
        </w:rPr>
        <w:t>باء</w:t>
      </w:r>
      <w:r w:rsidR="00B46B08">
        <w:rPr>
          <w:rFonts w:cs="Calibri" w:hint="cs"/>
          <w:rtl/>
        </w:rPr>
        <w:t>»</w:t>
      </w:r>
      <w:r>
        <w:rPr>
          <w:rFonts w:cs="Calibri" w:hint="cs"/>
          <w:rtl/>
        </w:rPr>
        <w:t xml:space="preserve">، </w:t>
      </w:r>
      <w:r w:rsidR="00B819CB">
        <w:rPr>
          <w:rFonts w:cs="Calibri"/>
          <w:rtl/>
        </w:rPr>
        <w:t>وللعلم الإجماليّ الثاني طرفان أيضا</w:t>
      </w:r>
      <w:r>
        <w:rPr>
          <w:rFonts w:cs="Calibri" w:hint="cs"/>
          <w:rtl/>
        </w:rPr>
        <w:t>ً</w:t>
      </w:r>
      <w:r w:rsidR="00B819CB">
        <w:rPr>
          <w:rFonts w:cs="Calibri"/>
          <w:rtl/>
        </w:rPr>
        <w:t xml:space="preserve"> </w:t>
      </w:r>
      <w:r>
        <w:rPr>
          <w:rFonts w:cs="Calibri" w:hint="cs"/>
          <w:rtl/>
        </w:rPr>
        <w:t xml:space="preserve">وهما </w:t>
      </w:r>
      <w:r w:rsidR="00B46B08">
        <w:rPr>
          <w:rFonts w:cs="Calibri" w:hint="cs"/>
          <w:rtl/>
        </w:rPr>
        <w:t>«</w:t>
      </w:r>
      <w:r w:rsidR="00B819CB">
        <w:rPr>
          <w:rFonts w:cs="Calibri"/>
          <w:rtl/>
        </w:rPr>
        <w:t>باء</w:t>
      </w:r>
      <w:r w:rsidR="00B46B08">
        <w:rPr>
          <w:rFonts w:cs="Calibri" w:hint="cs"/>
          <w:rtl/>
        </w:rPr>
        <w:t>»</w:t>
      </w:r>
      <w:r w:rsidR="00B819CB">
        <w:rPr>
          <w:rFonts w:cs="Calibri"/>
          <w:rtl/>
        </w:rPr>
        <w:t xml:space="preserve"> </w:t>
      </w:r>
      <w:r>
        <w:rPr>
          <w:rFonts w:cs="Calibri" w:hint="cs"/>
          <w:rtl/>
        </w:rPr>
        <w:t>(</w:t>
      </w:r>
      <w:r w:rsidR="00B819CB">
        <w:rPr>
          <w:rFonts w:cs="Calibri"/>
          <w:rtl/>
        </w:rPr>
        <w:t xml:space="preserve">الذي </w:t>
      </w:r>
      <w:r>
        <w:rPr>
          <w:rFonts w:cs="Calibri" w:hint="cs"/>
          <w:rtl/>
        </w:rPr>
        <w:t>كان</w:t>
      </w:r>
      <w:r w:rsidR="00B819CB">
        <w:rPr>
          <w:rFonts w:cs="Calibri"/>
          <w:rtl/>
        </w:rPr>
        <w:t xml:space="preserve"> الطرف الآخر للعلم الإجماليّ الأوّل</w:t>
      </w:r>
      <w:r>
        <w:rPr>
          <w:rFonts w:cs="Calibri" w:hint="cs"/>
          <w:rtl/>
        </w:rPr>
        <w:t>)</w:t>
      </w:r>
      <w:r w:rsidR="00B819CB">
        <w:rPr>
          <w:rFonts w:cs="Calibri"/>
          <w:rtl/>
        </w:rPr>
        <w:t xml:space="preserve"> و</w:t>
      </w:r>
      <w:r w:rsidR="00B46B08">
        <w:rPr>
          <w:rFonts w:cs="Calibri" w:hint="cs"/>
          <w:rtl/>
        </w:rPr>
        <w:t>«</w:t>
      </w:r>
      <w:r w:rsidR="00B819CB">
        <w:rPr>
          <w:rFonts w:cs="Calibri"/>
          <w:rtl/>
        </w:rPr>
        <w:t>الثوب</w:t>
      </w:r>
      <w:r w:rsidR="00B46B08">
        <w:rPr>
          <w:rFonts w:cs="Calibri" w:hint="cs"/>
          <w:rtl/>
        </w:rPr>
        <w:t>»</w:t>
      </w:r>
      <w:r w:rsidR="00B819CB">
        <w:rPr>
          <w:rFonts w:cs="Calibri"/>
          <w:rtl/>
        </w:rPr>
        <w:t xml:space="preserve"> الملاقي لألف</w:t>
      </w:r>
      <w:r w:rsidR="00B46B08">
        <w:rPr>
          <w:rFonts w:cs="Calibri" w:hint="cs"/>
          <w:rtl/>
        </w:rPr>
        <w:t>.</w:t>
      </w:r>
      <w:r w:rsidR="00B819CB">
        <w:rPr>
          <w:rFonts w:cs="Calibri"/>
          <w:rtl/>
        </w:rPr>
        <w:t xml:space="preserve"> فالمعلوم </w:t>
      </w:r>
      <w:r w:rsidR="005E030B">
        <w:rPr>
          <w:rFonts w:cs="Calibri"/>
          <w:rtl/>
        </w:rPr>
        <w:t>– وهو طبعا</w:t>
      </w:r>
      <w:r w:rsidR="005E030B">
        <w:rPr>
          <w:rFonts w:cs="Calibri" w:hint="cs"/>
          <w:rtl/>
        </w:rPr>
        <w:t>ً</w:t>
      </w:r>
      <w:r w:rsidR="005E030B">
        <w:rPr>
          <w:rFonts w:cs="Calibri"/>
          <w:rtl/>
        </w:rPr>
        <w:t xml:space="preserve"> يركّز النظر على المعلومين –</w:t>
      </w:r>
      <w:r w:rsidR="005E030B">
        <w:rPr>
          <w:rFonts w:cs="Calibri" w:hint="cs"/>
          <w:rtl/>
        </w:rPr>
        <w:t xml:space="preserve"> </w:t>
      </w:r>
      <w:r w:rsidR="00B819CB">
        <w:rPr>
          <w:rFonts w:cs="Calibri"/>
          <w:rtl/>
        </w:rPr>
        <w:t xml:space="preserve">الذي هو مادّة الافتراق للعلم الإجماليّ الأوّل هو </w:t>
      </w:r>
      <w:r w:rsidR="00B44576">
        <w:rPr>
          <w:rFonts w:cs="Calibri" w:hint="cs"/>
          <w:rtl/>
        </w:rPr>
        <w:t>«</w:t>
      </w:r>
      <w:r w:rsidR="00B819CB">
        <w:rPr>
          <w:rFonts w:cs="Calibri"/>
          <w:rtl/>
        </w:rPr>
        <w:t>ألف</w:t>
      </w:r>
      <w:r w:rsidR="00B44576">
        <w:rPr>
          <w:rFonts w:cs="Calibri" w:hint="cs"/>
          <w:rtl/>
        </w:rPr>
        <w:t>»،</w:t>
      </w:r>
      <w:r w:rsidR="00B819CB">
        <w:rPr>
          <w:rFonts w:cs="Calibri"/>
          <w:rtl/>
        </w:rPr>
        <w:t xml:space="preserve"> والمعلوم الذي هو مادّة الافتراق في العلم الإجماليّ الثاني هو </w:t>
      </w:r>
      <w:r w:rsidR="00B44576">
        <w:rPr>
          <w:rFonts w:cs="Calibri" w:hint="cs"/>
          <w:rtl/>
        </w:rPr>
        <w:t>«</w:t>
      </w:r>
      <w:r w:rsidR="00B819CB">
        <w:rPr>
          <w:rFonts w:cs="Calibri"/>
          <w:rtl/>
        </w:rPr>
        <w:t>الثوب</w:t>
      </w:r>
      <w:r w:rsidR="00B44576">
        <w:rPr>
          <w:rFonts w:cs="Calibri" w:hint="cs"/>
          <w:rtl/>
        </w:rPr>
        <w:t>».</w:t>
      </w:r>
      <w:r w:rsidR="00B819CB">
        <w:rPr>
          <w:rFonts w:cs="Calibri"/>
          <w:rtl/>
        </w:rPr>
        <w:t xml:space="preserve"> فهذان ال</w:t>
      </w:r>
      <w:r w:rsidR="00B44576">
        <w:rPr>
          <w:rFonts w:cs="Calibri" w:hint="cs"/>
          <w:rtl/>
        </w:rPr>
        <w:t>ل</w:t>
      </w:r>
      <w:r w:rsidR="00B819CB">
        <w:rPr>
          <w:rFonts w:cs="Calibri"/>
          <w:rtl/>
        </w:rPr>
        <w:t>ذان يشكّلان مادّتي الافتراق لهذين العلمين الإجماليّين يكون بينهما التقدّم والتأخّر الرتبيّين؛ لأنّ الثوب إن كان نجسا</w:t>
      </w:r>
      <w:r w:rsidR="002A1FA3">
        <w:rPr>
          <w:rFonts w:cs="Calibri" w:hint="cs"/>
          <w:rtl/>
        </w:rPr>
        <w:t>ً</w:t>
      </w:r>
      <w:r w:rsidR="00B819CB">
        <w:rPr>
          <w:rFonts w:cs="Calibri"/>
          <w:rtl/>
        </w:rPr>
        <w:t xml:space="preserve"> فنجاسته تكون بسبب ملاقاته لألف، ف</w:t>
      </w:r>
      <w:r w:rsidR="002A1FA3">
        <w:rPr>
          <w:rFonts w:cs="Calibri"/>
          <w:rtl/>
        </w:rPr>
        <w:t>النجاسة المعلومة</w:t>
      </w:r>
      <w:r w:rsidR="002A1FA3">
        <w:rPr>
          <w:rFonts w:cs="Calibri"/>
          <w:rtl/>
        </w:rPr>
        <w:t xml:space="preserve"> </w:t>
      </w:r>
      <w:r w:rsidR="002A1FA3">
        <w:rPr>
          <w:rFonts w:cs="Calibri" w:hint="cs"/>
          <w:rtl/>
        </w:rPr>
        <w:t xml:space="preserve">بالإجمال في </w:t>
      </w:r>
      <w:r w:rsidR="00B819CB">
        <w:rPr>
          <w:rFonts w:cs="Calibri"/>
          <w:rtl/>
        </w:rPr>
        <w:t>ألف والثوب تكون على شكل التقدّم والتأخّر الرتبيّين، فإن كانت النجاسة في ألف فهي أسبق رتبة من النجاسة الموجودة في الثوب. وهذا الكلام يرجع إلى مادّتي الافتراق</w:t>
      </w:r>
      <w:r w:rsidR="00BD183B">
        <w:rPr>
          <w:rFonts w:cs="Calibri" w:hint="cs"/>
          <w:rtl/>
        </w:rPr>
        <w:t>.</w:t>
      </w:r>
    </w:p>
    <w:p w14:paraId="668442F4" w14:textId="749DD048" w:rsidR="00B819CB" w:rsidRDefault="00B819CB" w:rsidP="00B819CB">
      <w:pPr>
        <w:rPr>
          <w:rFonts w:cs="Calibri"/>
          <w:rtl/>
        </w:rPr>
      </w:pPr>
      <w:r>
        <w:rPr>
          <w:rFonts w:cs="Calibri"/>
          <w:rtl/>
        </w:rPr>
        <w:t xml:space="preserve">ثمّ </w:t>
      </w:r>
      <w:r w:rsidR="00BD183B">
        <w:rPr>
          <w:rFonts w:cs="Calibri" w:hint="cs"/>
          <w:rtl/>
        </w:rPr>
        <w:t>يستنتج</w:t>
      </w:r>
      <w:r>
        <w:rPr>
          <w:rFonts w:cs="Calibri"/>
          <w:rtl/>
        </w:rPr>
        <w:t xml:space="preserve"> من هذه المقدمة أنّ مادّة الاشتراك التي هي باء إذاً متأخّر رتبة عن ألف</w:t>
      </w:r>
      <w:r w:rsidR="00BD183B">
        <w:rPr>
          <w:rFonts w:cs="Calibri" w:hint="cs"/>
          <w:rtl/>
        </w:rPr>
        <w:t>!</w:t>
      </w:r>
    </w:p>
    <w:p w14:paraId="654C4693" w14:textId="0AB97460" w:rsidR="009B1E94" w:rsidRPr="009B1E94" w:rsidRDefault="009B1E94" w:rsidP="00B819CB">
      <w:pPr>
        <w:rPr>
          <w:b/>
          <w:bCs/>
          <w:sz w:val="24"/>
          <w:szCs w:val="24"/>
          <w:rtl/>
        </w:rPr>
      </w:pPr>
      <w:r w:rsidRPr="009B1E94">
        <w:rPr>
          <w:rFonts w:cs="Calibri" w:hint="cs"/>
          <w:b/>
          <w:bCs/>
          <w:sz w:val="24"/>
          <w:szCs w:val="24"/>
          <w:rtl/>
        </w:rPr>
        <w:t>الإشكال على بيان المنقول من المحقّق النائيني في أجود التقريرات</w:t>
      </w:r>
    </w:p>
    <w:p w14:paraId="7B097D94" w14:textId="77777777" w:rsidR="00B819CB" w:rsidRDefault="00B819CB" w:rsidP="00B819CB">
      <w:pPr>
        <w:rPr>
          <w:rtl/>
        </w:rPr>
      </w:pPr>
      <w:r>
        <w:rPr>
          <w:rFonts w:cs="Calibri"/>
          <w:rtl/>
        </w:rPr>
        <w:t>لكن أيّ علاقة بين هذه المقدّمة وهذه النتيجة؟</w:t>
      </w:r>
    </w:p>
    <w:p w14:paraId="3C6F7F6B" w14:textId="77777777" w:rsidR="0021696D" w:rsidRDefault="0021696D" w:rsidP="00B819CB">
      <w:pPr>
        <w:rPr>
          <w:rFonts w:cs="Calibri"/>
          <w:rtl/>
        </w:rPr>
      </w:pPr>
      <w:r>
        <w:rPr>
          <w:rFonts w:cs="Calibri" w:hint="cs"/>
          <w:rtl/>
        </w:rPr>
        <w:t>ف</w:t>
      </w:r>
      <w:r w:rsidR="00B819CB">
        <w:rPr>
          <w:rFonts w:cs="Calibri"/>
          <w:rtl/>
        </w:rPr>
        <w:t xml:space="preserve">المقدّمة تقول </w:t>
      </w:r>
      <w:r>
        <w:rPr>
          <w:rFonts w:cs="Calibri" w:hint="cs"/>
          <w:rtl/>
        </w:rPr>
        <w:t>بأ</w:t>
      </w:r>
      <w:r w:rsidR="00B819CB">
        <w:rPr>
          <w:rFonts w:cs="Calibri"/>
          <w:rtl/>
        </w:rPr>
        <w:t>نّ مادّتي الافتراق بينهما التقدّم والتأخّر الرتبيّين</w:t>
      </w:r>
      <w:r>
        <w:rPr>
          <w:rFonts w:cs="Calibri" w:hint="cs"/>
          <w:rtl/>
        </w:rPr>
        <w:t>،</w:t>
      </w:r>
      <w:r w:rsidR="00B819CB">
        <w:rPr>
          <w:rFonts w:cs="Calibri"/>
          <w:rtl/>
        </w:rPr>
        <w:t xml:space="preserve"> و</w:t>
      </w:r>
      <w:r>
        <w:rPr>
          <w:rFonts w:cs="Calibri" w:hint="cs"/>
          <w:rtl/>
        </w:rPr>
        <w:t>هو</w:t>
      </w:r>
      <w:r w:rsidR="00B819CB">
        <w:rPr>
          <w:rFonts w:cs="Calibri"/>
          <w:rtl/>
        </w:rPr>
        <w:t xml:space="preserve"> يستنتج </w:t>
      </w:r>
      <w:r>
        <w:rPr>
          <w:rFonts w:cs="Calibri" w:hint="cs"/>
          <w:rtl/>
        </w:rPr>
        <w:t xml:space="preserve">منه </w:t>
      </w:r>
      <w:r w:rsidR="00B819CB">
        <w:rPr>
          <w:rFonts w:cs="Calibri"/>
          <w:rtl/>
        </w:rPr>
        <w:t>أنّ مادّة الاشتراك متأخّرة رتبة عن المعلوم بالعلم الإجماليّ الأوّل. وهذا غريب أن يستنتج نتيجة راجعة إلى مادّة الاشتراك بالمقدّمة التي يذكرها في مادّتي الافتراق.</w:t>
      </w:r>
    </w:p>
    <w:p w14:paraId="36238908" w14:textId="79473956" w:rsidR="00B819CB" w:rsidRDefault="00B819CB" w:rsidP="00B819CB">
      <w:pPr>
        <w:rPr>
          <w:rtl/>
        </w:rPr>
      </w:pPr>
      <w:r>
        <w:rPr>
          <w:rFonts w:cs="Calibri"/>
          <w:rtl/>
        </w:rPr>
        <w:t>وهذا لا يناسب شأن ومقام المحققّ النائينيّ رضوان الله تعالى عليه؛ لأنّه واضح أنّه هذا لا يرتبط بذاك. فيستغرب أستاذنا الشهيد عن المقرّر وهو السيّد الخوئي ويقول: إنّه كيف قبل هذا الكلام وكتبه؟ وهذا نظرٌ بعين إلى شيء وبالعين الثانية إلى شيء آخر.</w:t>
      </w:r>
    </w:p>
    <w:p w14:paraId="4E6811DA" w14:textId="07B24944" w:rsidR="00E55CB7" w:rsidRDefault="00B819CB" w:rsidP="00B819CB">
      <w:pPr>
        <w:rPr>
          <w:rFonts w:cs="Calibri"/>
          <w:rtl/>
        </w:rPr>
      </w:pPr>
      <w:r>
        <w:rPr>
          <w:rFonts w:cs="Calibri"/>
          <w:rtl/>
        </w:rPr>
        <w:t>ثمّ قال لعلّ مراد المحققّ النائينيّ شيء آخر له وجه</w:t>
      </w:r>
      <w:r w:rsidR="00E55CB7">
        <w:rPr>
          <w:rFonts w:cs="Calibri" w:hint="cs"/>
          <w:rtl/>
        </w:rPr>
        <w:t>،</w:t>
      </w:r>
      <w:r>
        <w:rPr>
          <w:rFonts w:cs="Calibri"/>
          <w:rtl/>
        </w:rPr>
        <w:t xml:space="preserve"> وهو رغم أنّ له وجها</w:t>
      </w:r>
      <w:r w:rsidR="00E55CB7">
        <w:rPr>
          <w:rFonts w:cs="Calibri" w:hint="cs"/>
          <w:rtl/>
        </w:rPr>
        <w:t>ً</w:t>
      </w:r>
      <w:r>
        <w:rPr>
          <w:rFonts w:cs="Calibri"/>
          <w:rtl/>
        </w:rPr>
        <w:t xml:space="preserve"> بظاهره ولكنّه أيضا</w:t>
      </w:r>
      <w:r w:rsidR="00E55CB7">
        <w:rPr>
          <w:rFonts w:cs="Calibri" w:hint="cs"/>
          <w:rtl/>
        </w:rPr>
        <w:t>ً</w:t>
      </w:r>
      <w:r>
        <w:rPr>
          <w:rFonts w:cs="Calibri"/>
          <w:rtl/>
        </w:rPr>
        <w:t xml:space="preserve"> غير صحيح.</w:t>
      </w:r>
    </w:p>
    <w:p w14:paraId="5DB166A1" w14:textId="27E04AB1" w:rsidR="009B1E94" w:rsidRPr="009B1E94" w:rsidRDefault="009B1E94" w:rsidP="00B819CB">
      <w:pPr>
        <w:rPr>
          <w:rFonts w:cs="Calibri"/>
          <w:b/>
          <w:bCs/>
          <w:sz w:val="24"/>
          <w:szCs w:val="24"/>
          <w:rtl/>
        </w:rPr>
      </w:pPr>
      <w:r w:rsidRPr="009B1E94">
        <w:rPr>
          <w:rFonts w:cs="Calibri" w:hint="cs"/>
          <w:b/>
          <w:bCs/>
          <w:sz w:val="24"/>
          <w:szCs w:val="24"/>
          <w:rtl/>
        </w:rPr>
        <w:t>التقريب المحتمل أنّه مقصود المحقّق النائيني رحمه الله</w:t>
      </w:r>
    </w:p>
    <w:p w14:paraId="2B8E555C" w14:textId="77777777" w:rsidR="008D6BB0" w:rsidRDefault="00DF53CD" w:rsidP="00B819CB">
      <w:pPr>
        <w:rPr>
          <w:rFonts w:cs="Calibri"/>
          <w:rtl/>
        </w:rPr>
      </w:pPr>
      <w:r>
        <w:rPr>
          <w:rFonts w:cs="Calibri" w:hint="cs"/>
          <w:rtl/>
        </w:rPr>
        <w:t xml:space="preserve">الهدف الأساسي </w:t>
      </w:r>
      <w:r w:rsidR="00F05086">
        <w:rPr>
          <w:rFonts w:cs="Calibri" w:hint="cs"/>
          <w:rtl/>
        </w:rPr>
        <w:t>في</w:t>
      </w:r>
      <w:r>
        <w:rPr>
          <w:rFonts w:cs="Calibri" w:hint="cs"/>
          <w:rtl/>
        </w:rPr>
        <w:t xml:space="preserve"> </w:t>
      </w:r>
      <w:r w:rsidR="00F05086">
        <w:rPr>
          <w:rFonts w:cs="Calibri" w:hint="cs"/>
          <w:rtl/>
        </w:rPr>
        <w:t>بيان المحقّق النائيني</w:t>
      </w:r>
      <w:r w:rsidR="00B819CB">
        <w:rPr>
          <w:rFonts w:cs="Calibri"/>
          <w:rtl/>
        </w:rPr>
        <w:t xml:space="preserve"> </w:t>
      </w:r>
      <w:r>
        <w:rPr>
          <w:rFonts w:cs="Calibri" w:hint="cs"/>
          <w:rtl/>
        </w:rPr>
        <w:t>هو</w:t>
      </w:r>
      <w:r w:rsidR="00B819CB">
        <w:rPr>
          <w:rFonts w:cs="Calibri"/>
          <w:rtl/>
        </w:rPr>
        <w:t xml:space="preserve"> إثبات أنّ العلم الإجماليّ الثاني ليس معلومه حدوثيّا</w:t>
      </w:r>
      <w:r>
        <w:rPr>
          <w:rFonts w:cs="Calibri" w:hint="cs"/>
          <w:rtl/>
        </w:rPr>
        <w:t>ً</w:t>
      </w:r>
      <w:r w:rsidR="00B819CB">
        <w:rPr>
          <w:rFonts w:cs="Calibri"/>
          <w:rtl/>
        </w:rPr>
        <w:t xml:space="preserve"> على كلّ تقدير</w:t>
      </w:r>
      <w:r>
        <w:rPr>
          <w:rFonts w:cs="Calibri" w:hint="cs"/>
          <w:rtl/>
        </w:rPr>
        <w:t>،</w:t>
      </w:r>
      <w:r w:rsidR="00B819CB">
        <w:rPr>
          <w:rFonts w:cs="Calibri"/>
          <w:rtl/>
        </w:rPr>
        <w:t xml:space="preserve"> </w:t>
      </w:r>
      <w:r>
        <w:rPr>
          <w:rFonts w:cs="Calibri" w:hint="cs"/>
          <w:rtl/>
        </w:rPr>
        <w:t>ف</w:t>
      </w:r>
      <w:r w:rsidR="00B819CB">
        <w:rPr>
          <w:rFonts w:cs="Calibri"/>
          <w:rtl/>
        </w:rPr>
        <w:t xml:space="preserve">هو يرى أنّ </w:t>
      </w:r>
      <w:r w:rsidR="00B819CB">
        <w:rPr>
          <w:rFonts w:cs="Calibri"/>
          <w:rtl/>
        </w:rPr>
        <w:lastRenderedPageBreak/>
        <w:t xml:space="preserve">المعلوم بكلّ علم إن كان غير حدوثيّ بل </w:t>
      </w:r>
      <w:r>
        <w:rPr>
          <w:rFonts w:cs="Calibri" w:hint="cs"/>
          <w:rtl/>
        </w:rPr>
        <w:t>ولو كان يحتمل</w:t>
      </w:r>
      <w:r w:rsidR="00B819CB">
        <w:rPr>
          <w:rFonts w:cs="Calibri"/>
          <w:rtl/>
        </w:rPr>
        <w:t xml:space="preserve"> أن يكون بقائيّا</w:t>
      </w:r>
      <w:r>
        <w:rPr>
          <w:rFonts w:cs="Calibri" w:hint="cs"/>
          <w:rtl/>
        </w:rPr>
        <w:t>ً</w:t>
      </w:r>
      <w:r w:rsidR="00B819CB">
        <w:rPr>
          <w:rFonts w:cs="Calibri"/>
          <w:rtl/>
        </w:rPr>
        <w:t xml:space="preserve"> فهو غير منجّز ومنحلّ.</w:t>
      </w:r>
    </w:p>
    <w:p w14:paraId="0C4CD1E6" w14:textId="16C05AD2" w:rsidR="00B819CB" w:rsidRPr="00BD7E1A" w:rsidRDefault="008D6BB0" w:rsidP="00B819CB">
      <w:pPr>
        <w:rPr>
          <w:b/>
          <w:bCs/>
          <w:rtl/>
        </w:rPr>
      </w:pPr>
      <w:r w:rsidRPr="00BD7E1A">
        <w:rPr>
          <w:rFonts w:cs="Calibri"/>
          <w:b/>
          <w:bCs/>
          <w:rtl/>
        </w:rPr>
        <w:t xml:space="preserve">والتقريب </w:t>
      </w:r>
      <w:r w:rsidRPr="00BD7E1A">
        <w:rPr>
          <w:rFonts w:cs="Calibri" w:hint="cs"/>
          <w:b/>
          <w:bCs/>
          <w:rtl/>
        </w:rPr>
        <w:t xml:space="preserve">المحتمل </w:t>
      </w:r>
      <w:r w:rsidRPr="00BD7E1A">
        <w:rPr>
          <w:rFonts w:cs="Calibri"/>
          <w:b/>
          <w:bCs/>
          <w:rtl/>
        </w:rPr>
        <w:t>يشتمل على المرحلتين</w:t>
      </w:r>
      <w:r w:rsidRPr="00BD7E1A">
        <w:rPr>
          <w:rFonts w:cs="Calibri" w:hint="cs"/>
          <w:b/>
          <w:bCs/>
          <w:rtl/>
        </w:rPr>
        <w:t>:</w:t>
      </w:r>
    </w:p>
    <w:p w14:paraId="7A1D1DCC" w14:textId="5254FB8C" w:rsidR="00B819CB" w:rsidRDefault="00B819CB" w:rsidP="00B819CB">
      <w:pPr>
        <w:rPr>
          <w:rtl/>
        </w:rPr>
      </w:pPr>
      <w:r w:rsidRPr="00A9075D">
        <w:rPr>
          <w:rFonts w:cs="Calibri"/>
          <w:b/>
          <w:bCs/>
          <w:rtl/>
        </w:rPr>
        <w:t>ففي المرحلة الأولى</w:t>
      </w:r>
      <w:r>
        <w:rPr>
          <w:rFonts w:cs="Calibri"/>
          <w:rtl/>
        </w:rPr>
        <w:t xml:space="preserve"> يثبت كون المعلوم بالعلم الإجماليّ الثاني متأخّرا</w:t>
      </w:r>
      <w:r w:rsidR="00BD7E1A">
        <w:rPr>
          <w:rFonts w:cs="Calibri" w:hint="cs"/>
          <w:rtl/>
        </w:rPr>
        <w:t>ً</w:t>
      </w:r>
      <w:r>
        <w:rPr>
          <w:rFonts w:cs="Calibri"/>
          <w:rtl/>
        </w:rPr>
        <w:t xml:space="preserve"> رتبة عن المعلوم بالعلم الإجماليّ الأوّل </w:t>
      </w:r>
      <w:r w:rsidR="00BD7E1A">
        <w:rPr>
          <w:rFonts w:cs="Calibri" w:hint="cs"/>
          <w:rtl/>
        </w:rPr>
        <w:t>(</w:t>
      </w:r>
      <w:r>
        <w:rPr>
          <w:rFonts w:cs="Calibri"/>
          <w:rtl/>
        </w:rPr>
        <w:t xml:space="preserve">رغم ما قلنا </w:t>
      </w:r>
      <w:r w:rsidR="00BD7E1A">
        <w:rPr>
          <w:rFonts w:cs="Calibri" w:hint="cs"/>
          <w:rtl/>
        </w:rPr>
        <w:t>من أ</w:t>
      </w:r>
      <w:r>
        <w:rPr>
          <w:rFonts w:cs="Calibri"/>
          <w:rtl/>
        </w:rPr>
        <w:t xml:space="preserve">نّه </w:t>
      </w:r>
      <w:r w:rsidR="00BD7E1A">
        <w:rPr>
          <w:rFonts w:cs="Calibri" w:hint="cs"/>
          <w:rtl/>
        </w:rPr>
        <w:t xml:space="preserve">إنّما يكون متأخّراً رتبةً </w:t>
      </w:r>
      <w:r>
        <w:rPr>
          <w:rFonts w:cs="Calibri"/>
          <w:rtl/>
        </w:rPr>
        <w:t xml:space="preserve">على أحد التقديرين </w:t>
      </w:r>
      <w:r w:rsidR="00BD7E1A">
        <w:rPr>
          <w:rFonts w:cs="Calibri" w:hint="cs"/>
          <w:rtl/>
        </w:rPr>
        <w:t xml:space="preserve">فقط </w:t>
      </w:r>
      <w:r>
        <w:rPr>
          <w:rFonts w:cs="Calibri"/>
          <w:rtl/>
        </w:rPr>
        <w:t>لا على كلّ تقدير</w:t>
      </w:r>
      <w:r w:rsidR="00BD7E1A">
        <w:rPr>
          <w:rFonts w:cs="Calibri" w:hint="cs"/>
          <w:rtl/>
        </w:rPr>
        <w:t>)</w:t>
      </w:r>
      <w:r>
        <w:rPr>
          <w:rFonts w:cs="Calibri"/>
          <w:rtl/>
        </w:rPr>
        <w:t xml:space="preserve">،  وهذا ببيان أنّ المعلوم بالعلم الإجماليّ الثاني بما هو معلوم على إجماله </w:t>
      </w:r>
      <w:r w:rsidR="00BD7E1A">
        <w:rPr>
          <w:rFonts w:cs="Calibri"/>
          <w:rtl/>
        </w:rPr>
        <w:t>–</w:t>
      </w:r>
      <w:r>
        <w:rPr>
          <w:rFonts w:cs="Calibri"/>
          <w:rtl/>
        </w:rPr>
        <w:t xml:space="preserve"> لا المعلوم الواقعيّ الذي إمّا هو هذا الطرف أو ذاك – متأخّر</w:t>
      </w:r>
      <w:r w:rsidR="00A9075D">
        <w:rPr>
          <w:rFonts w:cs="Calibri" w:hint="cs"/>
          <w:rtl/>
        </w:rPr>
        <w:t>ٌ</w:t>
      </w:r>
      <w:r>
        <w:rPr>
          <w:rFonts w:cs="Calibri"/>
          <w:rtl/>
        </w:rPr>
        <w:t xml:space="preserve"> رتبة عن المعلوم بالعلم الإجماليّ الأوّل على تردّده وإجماله؛ والدليل على ذلك أنّه مقيّد بقيد متأخّر وهو الملاقاة، فلو لم يوجد الملاقاة لما حصل هذا العلم الإجماليّ الثاني، فهو مقيّد بقيد الملاقاة وهي متأخّر عن المعلوم بالعلم الإجماليّ الأوّل والعلم الإجماليّ الأوّل لم يقيّد بقيد. </w:t>
      </w:r>
      <w:r w:rsidR="00A9075D">
        <w:rPr>
          <w:rFonts w:cs="Calibri" w:hint="cs"/>
          <w:rtl/>
        </w:rPr>
        <w:t>هذه هي</w:t>
      </w:r>
      <w:r>
        <w:rPr>
          <w:rFonts w:cs="Calibri"/>
          <w:rtl/>
        </w:rPr>
        <w:t xml:space="preserve"> المرحلة الأولى،</w:t>
      </w:r>
      <w:r w:rsidR="005876BF">
        <w:rPr>
          <w:rFonts w:cs="Calibri" w:hint="cs"/>
          <w:rtl/>
        </w:rPr>
        <w:t xml:space="preserve"> </w:t>
      </w:r>
      <w:r>
        <w:rPr>
          <w:rFonts w:cs="Calibri"/>
          <w:rtl/>
        </w:rPr>
        <w:t>وبهذا المقدار لم يتوصّل المحقّق النائينيّ إلى أنّ هذا المعلوم حدوثيّ. ولهذا لا بدّ من ضمّ المرحلة الثانية للتوصّل إلى هذه النتيجة من أنّ المعلوم بالعلم الإجماليّ الثاني حدوثيّ على بعض تقاديره وبقائيّ على الأخرى وهذا ما يوجب الانحلال حسب رأيه.</w:t>
      </w:r>
    </w:p>
    <w:p w14:paraId="4A0D129F" w14:textId="2273976A" w:rsidR="00B819CB" w:rsidRDefault="00B819CB" w:rsidP="00B819CB">
      <w:pPr>
        <w:rPr>
          <w:rFonts w:hint="cs"/>
          <w:rtl/>
        </w:rPr>
      </w:pPr>
      <w:r w:rsidRPr="0087205D">
        <w:rPr>
          <w:rFonts w:cs="Calibri"/>
          <w:b/>
          <w:bCs/>
          <w:rtl/>
        </w:rPr>
        <w:t>و</w:t>
      </w:r>
      <w:r w:rsidR="00FD3548">
        <w:rPr>
          <w:rFonts w:cs="Calibri" w:hint="cs"/>
          <w:b/>
          <w:bCs/>
          <w:rtl/>
        </w:rPr>
        <w:t>في</w:t>
      </w:r>
      <w:r w:rsidRPr="0087205D">
        <w:rPr>
          <w:rFonts w:cs="Calibri"/>
          <w:b/>
          <w:bCs/>
          <w:rtl/>
        </w:rPr>
        <w:t xml:space="preserve"> المرحلة الثانية</w:t>
      </w:r>
      <w:r>
        <w:rPr>
          <w:rFonts w:cs="Calibri"/>
          <w:rtl/>
        </w:rPr>
        <w:t xml:space="preserve"> </w:t>
      </w:r>
      <w:r w:rsidR="00FD3548">
        <w:rPr>
          <w:rFonts w:cs="Calibri" w:hint="cs"/>
          <w:rtl/>
        </w:rPr>
        <w:t xml:space="preserve">نريد أن نجعل </w:t>
      </w:r>
      <w:r>
        <w:rPr>
          <w:rFonts w:cs="Calibri"/>
          <w:rtl/>
        </w:rPr>
        <w:t xml:space="preserve">هذا المعلوم السابق رتبة </w:t>
      </w:r>
      <w:r w:rsidR="00FD3548">
        <w:rPr>
          <w:rFonts w:cs="Calibri"/>
          <w:rtl/>
        </w:rPr>
        <w:t>–</w:t>
      </w:r>
      <w:r w:rsidR="00FD3548">
        <w:rPr>
          <w:rFonts w:cs="Calibri" w:hint="cs"/>
          <w:rtl/>
        </w:rPr>
        <w:t xml:space="preserve"> </w:t>
      </w:r>
      <w:r>
        <w:rPr>
          <w:rFonts w:cs="Calibri"/>
          <w:rtl/>
        </w:rPr>
        <w:t xml:space="preserve">بشكل من الأشكال </w:t>
      </w:r>
      <w:r w:rsidR="00FD3548">
        <w:rPr>
          <w:rFonts w:cs="Calibri"/>
          <w:rtl/>
        </w:rPr>
        <w:t>–</w:t>
      </w:r>
      <w:r>
        <w:rPr>
          <w:rFonts w:cs="Calibri"/>
          <w:rtl/>
        </w:rPr>
        <w:t xml:space="preserve"> قابلا</w:t>
      </w:r>
      <w:r w:rsidR="00274AB3">
        <w:rPr>
          <w:rFonts w:cs="Calibri" w:hint="cs"/>
          <w:rtl/>
        </w:rPr>
        <w:t>ً</w:t>
      </w:r>
      <w:r>
        <w:rPr>
          <w:rFonts w:cs="Calibri"/>
          <w:rtl/>
        </w:rPr>
        <w:t xml:space="preserve"> للاجتماع للمعلوم بالعلم الإجماليّ الثاني </w:t>
      </w:r>
      <w:r w:rsidR="00FD3548">
        <w:rPr>
          <w:rFonts w:cs="Calibri"/>
          <w:rtl/>
        </w:rPr>
        <w:t>–</w:t>
      </w:r>
      <w:r w:rsidR="00FD3548">
        <w:rPr>
          <w:rFonts w:cs="Calibri" w:hint="cs"/>
          <w:rtl/>
        </w:rPr>
        <w:t xml:space="preserve"> </w:t>
      </w:r>
      <w:r w:rsidR="00FD3548">
        <w:rPr>
          <w:rFonts w:cs="Calibri"/>
          <w:rtl/>
        </w:rPr>
        <w:t>رغم اختلاف الرتبة</w:t>
      </w:r>
      <w:r w:rsidR="00FD3548">
        <w:rPr>
          <w:rFonts w:cs="Calibri" w:hint="cs"/>
          <w:rtl/>
        </w:rPr>
        <w:t xml:space="preserve"> بين</w:t>
      </w:r>
      <w:r w:rsidR="00FD3548">
        <w:rPr>
          <w:rFonts w:cs="Calibri" w:hint="cs"/>
          <w:rtl/>
        </w:rPr>
        <w:t>هما</w:t>
      </w:r>
      <w:r w:rsidR="00FD3548">
        <w:rPr>
          <w:rFonts w:cs="Calibri"/>
          <w:rtl/>
        </w:rPr>
        <w:t xml:space="preserve"> –</w:t>
      </w:r>
      <w:r w:rsidR="00FD3548">
        <w:rPr>
          <w:rFonts w:cs="Calibri" w:hint="cs"/>
          <w:rtl/>
        </w:rPr>
        <w:t xml:space="preserve"> </w:t>
      </w:r>
      <w:r>
        <w:rPr>
          <w:rFonts w:cs="Calibri"/>
          <w:rtl/>
        </w:rPr>
        <w:t>وقابلا</w:t>
      </w:r>
      <w:r w:rsidR="00305041">
        <w:rPr>
          <w:rFonts w:cs="Calibri" w:hint="cs"/>
          <w:rtl/>
        </w:rPr>
        <w:t>ً</w:t>
      </w:r>
      <w:r>
        <w:rPr>
          <w:rFonts w:cs="Calibri"/>
          <w:rtl/>
        </w:rPr>
        <w:t xml:space="preserve"> للانطباق على الطرف المشترك؛ </w:t>
      </w:r>
      <w:r w:rsidR="009E2CFB">
        <w:rPr>
          <w:rFonts w:cs="Calibri" w:hint="cs"/>
          <w:rtl/>
        </w:rPr>
        <w:t>فإ</w:t>
      </w:r>
      <w:r>
        <w:rPr>
          <w:rFonts w:cs="Calibri"/>
          <w:rtl/>
        </w:rPr>
        <w:t>نّ</w:t>
      </w:r>
      <w:r w:rsidR="00DC2B63">
        <w:rPr>
          <w:rFonts w:cs="Calibri" w:hint="cs"/>
          <w:rtl/>
        </w:rPr>
        <w:t>ه</w:t>
      </w:r>
      <w:r>
        <w:rPr>
          <w:rFonts w:cs="Calibri"/>
          <w:rtl/>
        </w:rPr>
        <w:t xml:space="preserve"> </w:t>
      </w:r>
      <w:r w:rsidR="00DC2B63">
        <w:rPr>
          <w:rFonts w:cs="Calibri" w:hint="cs"/>
          <w:rtl/>
        </w:rPr>
        <w:t>يوجب</w:t>
      </w:r>
      <w:r>
        <w:rPr>
          <w:rFonts w:cs="Calibri"/>
          <w:rtl/>
        </w:rPr>
        <w:t xml:space="preserve"> </w:t>
      </w:r>
      <w:r w:rsidR="00DC2B63">
        <w:rPr>
          <w:rFonts w:cs="Calibri" w:hint="cs"/>
          <w:rtl/>
        </w:rPr>
        <w:t>عدم إحراز كون</w:t>
      </w:r>
      <w:r>
        <w:rPr>
          <w:rFonts w:cs="Calibri"/>
          <w:rtl/>
        </w:rPr>
        <w:t xml:space="preserve"> المعلوم بالعلم الإجماليّ الثاني حدوثيّا</w:t>
      </w:r>
      <w:r w:rsidR="00DC2B63">
        <w:rPr>
          <w:rFonts w:cs="Calibri" w:hint="cs"/>
          <w:rtl/>
        </w:rPr>
        <w:t>ً</w:t>
      </w:r>
      <w:r>
        <w:rPr>
          <w:rFonts w:cs="Calibri"/>
          <w:rtl/>
        </w:rPr>
        <w:t xml:space="preserve"> بل لعلّه بقائيّ</w:t>
      </w:r>
      <w:r w:rsidR="00DC2B63">
        <w:rPr>
          <w:rFonts w:cs="Calibri" w:hint="cs"/>
          <w:rtl/>
        </w:rPr>
        <w:t>،</w:t>
      </w:r>
      <w:r>
        <w:rPr>
          <w:rFonts w:cs="Calibri"/>
          <w:rtl/>
        </w:rPr>
        <w:t xml:space="preserve"> وهذا منوط بالجمع بين الرتبتين في طرف مشترك رغم كونهما من الرتبتين.</w:t>
      </w:r>
    </w:p>
    <w:p w14:paraId="41D68AFC" w14:textId="77777777" w:rsidR="005D4742" w:rsidRDefault="00E719DE" w:rsidP="00B819CB">
      <w:pPr>
        <w:rPr>
          <w:rFonts w:cs="Calibri"/>
          <w:rtl/>
        </w:rPr>
      </w:pPr>
      <w:r>
        <w:rPr>
          <w:rFonts w:cs="Calibri" w:hint="cs"/>
          <w:rtl/>
        </w:rPr>
        <w:t>ف</w:t>
      </w:r>
      <w:r w:rsidR="00B819CB">
        <w:rPr>
          <w:rFonts w:cs="Calibri"/>
          <w:rtl/>
        </w:rPr>
        <w:t>نقول هنا إنّ المعلوم بالعلم الإجماليّ الثاني وإن كان لم يمكنه أن يصعد إلى مستوى المعلوم بالعلم الإجماليّ الأوّل؛ لأنّه مقيّد بقيد متأخّر</w:t>
      </w:r>
      <w:r w:rsidR="007A280B">
        <w:rPr>
          <w:rFonts w:cs="Calibri" w:hint="cs"/>
          <w:rtl/>
        </w:rPr>
        <w:t>،</w:t>
      </w:r>
      <w:r w:rsidR="00B819CB">
        <w:rPr>
          <w:rFonts w:cs="Calibri"/>
          <w:rtl/>
        </w:rPr>
        <w:t xml:space="preserve"> ولكن</w:t>
      </w:r>
      <w:r w:rsidR="007A280B">
        <w:rPr>
          <w:rFonts w:cs="Calibri" w:hint="cs"/>
          <w:rtl/>
        </w:rPr>
        <w:t>ّ</w:t>
      </w:r>
      <w:r w:rsidR="00B819CB">
        <w:rPr>
          <w:rFonts w:cs="Calibri"/>
          <w:rtl/>
        </w:rPr>
        <w:t xml:space="preserve"> المعلوم بالعلم الإجماليّ الأوّل مطلق لا مقيّد، فبإطلاقه يمكن أن ينزل من الرتبة العالية إلى الرتبة النازلة</w:t>
      </w:r>
      <w:r w:rsidR="007A280B">
        <w:rPr>
          <w:rFonts w:cs="Calibri" w:hint="cs"/>
          <w:rtl/>
        </w:rPr>
        <w:t>.</w:t>
      </w:r>
      <w:r w:rsidR="00B819CB">
        <w:rPr>
          <w:rFonts w:cs="Calibri"/>
          <w:rtl/>
        </w:rPr>
        <w:t xml:space="preserve"> يعني أنّهما يجتمعان ولكن لا بطريقة صعود المعلوم بالعلم الإجماليّ الثاني إلى مرتبة المعلوم بال</w:t>
      </w:r>
      <w:r w:rsidR="007A280B">
        <w:rPr>
          <w:rFonts w:cs="Calibri" w:hint="cs"/>
          <w:rtl/>
        </w:rPr>
        <w:t>علم ال</w:t>
      </w:r>
      <w:r w:rsidR="00B819CB">
        <w:rPr>
          <w:rFonts w:cs="Calibri"/>
          <w:rtl/>
        </w:rPr>
        <w:t>إجماليّ الأوّل</w:t>
      </w:r>
      <w:r w:rsidR="007A280B">
        <w:rPr>
          <w:rFonts w:cs="Calibri" w:hint="cs"/>
          <w:rtl/>
        </w:rPr>
        <w:t>،</w:t>
      </w:r>
      <w:r w:rsidR="00B819CB">
        <w:rPr>
          <w:rFonts w:cs="Calibri"/>
          <w:rtl/>
        </w:rPr>
        <w:t xml:space="preserve"> بل بطريقة نزول ذاك الأعلى إلى الأسفل </w:t>
      </w:r>
      <w:r w:rsidR="007A280B">
        <w:rPr>
          <w:rFonts w:cs="Calibri" w:hint="cs"/>
          <w:rtl/>
        </w:rPr>
        <w:t>تمسّكاً ب</w:t>
      </w:r>
      <w:r w:rsidR="00B819CB">
        <w:rPr>
          <w:rFonts w:cs="Calibri"/>
          <w:rtl/>
        </w:rPr>
        <w:t>إطلاق</w:t>
      </w:r>
      <w:r w:rsidR="007A280B">
        <w:rPr>
          <w:rFonts w:cs="Calibri" w:hint="cs"/>
          <w:rtl/>
        </w:rPr>
        <w:t>ه</w:t>
      </w:r>
      <w:r w:rsidR="005D4742">
        <w:rPr>
          <w:rFonts w:cs="Calibri" w:hint="cs"/>
          <w:rtl/>
        </w:rPr>
        <w:t>.</w:t>
      </w:r>
    </w:p>
    <w:p w14:paraId="2013F33E" w14:textId="13DCCC74" w:rsidR="00B819CB" w:rsidRDefault="00B819CB" w:rsidP="006809A3">
      <w:pPr>
        <w:rPr>
          <w:rtl/>
        </w:rPr>
      </w:pPr>
      <w:r>
        <w:rPr>
          <w:rFonts w:cs="Calibri"/>
          <w:rtl/>
        </w:rPr>
        <w:t>و</w:t>
      </w:r>
      <w:r w:rsidR="005D4742">
        <w:rPr>
          <w:rFonts w:cs="Calibri" w:hint="cs"/>
          <w:rtl/>
        </w:rPr>
        <w:t xml:space="preserve">لتوضيح </w:t>
      </w:r>
      <w:r>
        <w:rPr>
          <w:rFonts w:cs="Calibri"/>
          <w:rtl/>
        </w:rPr>
        <w:t xml:space="preserve">ذلك </w:t>
      </w:r>
      <w:r w:rsidR="005D4742">
        <w:rPr>
          <w:rFonts w:cs="Calibri" w:hint="cs"/>
          <w:rtl/>
        </w:rPr>
        <w:t>يشبّه أستاذنا الشهيد هذا البحث ب</w:t>
      </w:r>
      <w:r>
        <w:rPr>
          <w:rFonts w:cs="Calibri"/>
          <w:rtl/>
        </w:rPr>
        <w:t xml:space="preserve">ما جاء في بحث </w:t>
      </w:r>
      <w:r w:rsidR="005D4742">
        <w:rPr>
          <w:rFonts w:cs="Calibri" w:hint="cs"/>
          <w:rtl/>
        </w:rPr>
        <w:t>الجمع بين الحكم</w:t>
      </w:r>
      <w:r>
        <w:rPr>
          <w:rFonts w:cs="Calibri"/>
          <w:rtl/>
        </w:rPr>
        <w:t xml:space="preserve"> الواقعيّ </w:t>
      </w:r>
      <w:r w:rsidR="005D4742">
        <w:rPr>
          <w:rFonts w:cs="Calibri" w:hint="cs"/>
          <w:rtl/>
        </w:rPr>
        <w:t xml:space="preserve">والظاهريّ، </w:t>
      </w:r>
      <w:r>
        <w:rPr>
          <w:rFonts w:cs="Calibri"/>
          <w:rtl/>
        </w:rPr>
        <w:t>حيث ذ</w:t>
      </w:r>
      <w:r w:rsidR="005D4742">
        <w:rPr>
          <w:rFonts w:cs="Calibri" w:hint="cs"/>
          <w:rtl/>
        </w:rPr>
        <w:t>ُ</w:t>
      </w:r>
      <w:r>
        <w:rPr>
          <w:rFonts w:cs="Calibri"/>
          <w:rtl/>
        </w:rPr>
        <w:t>كرت وجوه ل</w:t>
      </w:r>
      <w:r w:rsidR="005D4742">
        <w:rPr>
          <w:rFonts w:cs="Calibri" w:hint="cs"/>
          <w:rtl/>
        </w:rPr>
        <w:t>إ</w:t>
      </w:r>
      <w:r>
        <w:rPr>
          <w:rFonts w:cs="Calibri"/>
          <w:rtl/>
        </w:rPr>
        <w:t>ثبات أنّ الحكم الواقعيّ قابل للاجتماع مع الحكم الظاهريّ</w:t>
      </w:r>
      <w:r w:rsidR="006809A3">
        <w:rPr>
          <w:rFonts w:cs="Calibri" w:hint="cs"/>
          <w:rtl/>
        </w:rPr>
        <w:t>،</w:t>
      </w:r>
      <w:r>
        <w:rPr>
          <w:rFonts w:cs="Calibri"/>
          <w:rtl/>
        </w:rPr>
        <w:t xml:space="preserve"> ومن جملة هذه الوجوه</w:t>
      </w:r>
      <w:r w:rsidR="006809A3">
        <w:rPr>
          <w:rFonts w:cs="Calibri" w:hint="cs"/>
          <w:rtl/>
        </w:rPr>
        <w:t>:</w:t>
      </w:r>
      <w:r>
        <w:rPr>
          <w:rFonts w:cs="Calibri"/>
          <w:rtl/>
        </w:rPr>
        <w:t xml:space="preserve"> أنّ</w:t>
      </w:r>
      <w:r w:rsidR="006809A3">
        <w:rPr>
          <w:rFonts w:cs="Calibri" w:hint="cs"/>
          <w:rtl/>
        </w:rPr>
        <w:t>ه يوجد</w:t>
      </w:r>
      <w:r>
        <w:rPr>
          <w:rFonts w:cs="Calibri"/>
          <w:rtl/>
        </w:rPr>
        <w:t xml:space="preserve"> بينهما</w:t>
      </w:r>
      <w:r w:rsidR="006809A3">
        <w:rPr>
          <w:rFonts w:cs="Calibri" w:hint="cs"/>
          <w:rtl/>
        </w:rPr>
        <w:t xml:space="preserve"> اختلافٌ</w:t>
      </w:r>
      <w:r>
        <w:rPr>
          <w:rFonts w:cs="Calibri"/>
          <w:rtl/>
        </w:rPr>
        <w:t xml:space="preserve"> في الرتبة </w:t>
      </w:r>
      <w:r w:rsidR="006809A3">
        <w:rPr>
          <w:rFonts w:cs="Calibri" w:hint="cs"/>
          <w:rtl/>
        </w:rPr>
        <w:t>ف</w:t>
      </w:r>
      <w:r>
        <w:rPr>
          <w:rFonts w:cs="Calibri"/>
          <w:rtl/>
        </w:rPr>
        <w:t xml:space="preserve">يمكن اجتماع الحكم الواقعيّ مع الحكم الظاهريّ </w:t>
      </w:r>
      <w:r w:rsidR="006809A3">
        <w:rPr>
          <w:rFonts w:cs="Calibri" w:hint="cs"/>
          <w:rtl/>
        </w:rPr>
        <w:t>لاختلاف رتبتهما</w:t>
      </w:r>
      <w:r>
        <w:rPr>
          <w:rFonts w:cs="Calibri"/>
          <w:rtl/>
        </w:rPr>
        <w:t>.</w:t>
      </w:r>
      <w:r w:rsidR="006809A3">
        <w:rPr>
          <w:rFonts w:hint="cs"/>
          <w:rtl/>
        </w:rPr>
        <w:t xml:space="preserve"> </w:t>
      </w:r>
      <w:r w:rsidR="006809A3">
        <w:rPr>
          <w:rFonts w:cs="Calibri" w:hint="cs"/>
          <w:rtl/>
        </w:rPr>
        <w:t>ف</w:t>
      </w:r>
      <w:r>
        <w:rPr>
          <w:rFonts w:cs="Calibri"/>
          <w:rtl/>
        </w:rPr>
        <w:t xml:space="preserve">بعضهم أجاب على هذا الكلام بأنّه وإن كان الحكم الظاهريّ لا يمكنه أن يصعد إلى مستوى الحكم الواقعيّ لأنّه مقيّد بالشكّ ولكنّ الحكم الواقعيّ بكونه غير مقيّد بالشكّ يمكنه </w:t>
      </w:r>
      <w:r w:rsidR="006809A3">
        <w:rPr>
          <w:rFonts w:cs="Calibri" w:hint="cs"/>
          <w:rtl/>
        </w:rPr>
        <w:t>أن ينزل</w:t>
      </w:r>
      <w:r>
        <w:rPr>
          <w:rFonts w:cs="Calibri"/>
          <w:rtl/>
        </w:rPr>
        <w:t xml:space="preserve"> إلى رتبة الحكم الظاهريّ فيجتمعان.</w:t>
      </w:r>
    </w:p>
    <w:p w14:paraId="386756AF" w14:textId="6C8ACEEC" w:rsidR="00B819CB" w:rsidRDefault="00B819CB" w:rsidP="00B819CB">
      <w:pPr>
        <w:rPr>
          <w:rtl/>
        </w:rPr>
      </w:pPr>
      <w:r>
        <w:rPr>
          <w:rFonts w:cs="Calibri"/>
          <w:rtl/>
        </w:rPr>
        <w:t>والسي</w:t>
      </w:r>
      <w:r w:rsidR="007C0C91">
        <w:rPr>
          <w:rFonts w:cs="Calibri" w:hint="cs"/>
          <w:rtl/>
        </w:rPr>
        <w:t>ّ</w:t>
      </w:r>
      <w:r>
        <w:rPr>
          <w:rFonts w:cs="Calibri"/>
          <w:rtl/>
        </w:rPr>
        <w:t>د الشهيد يشبّه ما نحن فيه بهذا الكلام فيقول إنّه صحيح أنّهما في الرتبتين وأنّ المعلوم بالعلم الإجماليّ الأوّل أسبق وأعلى رتبة من المعلوم بالعلم الإجماليّ الثاني</w:t>
      </w:r>
      <w:r w:rsidR="00F46CFD">
        <w:rPr>
          <w:rFonts w:cs="Calibri" w:hint="cs"/>
          <w:rtl/>
        </w:rPr>
        <w:t>،</w:t>
      </w:r>
      <w:r>
        <w:rPr>
          <w:rFonts w:cs="Calibri"/>
          <w:rtl/>
        </w:rPr>
        <w:t xml:space="preserve"> والمعلوم بالعلم الإجماليّ الثاني لا يمكنه أن يصعد إلى رتبة المعلوم بالعلم الإجماليّ الأوّل </w:t>
      </w:r>
      <w:r w:rsidR="00F46CFD">
        <w:rPr>
          <w:rFonts w:cs="Calibri"/>
          <w:rtl/>
        </w:rPr>
        <w:t>لكونه مقيّدا</w:t>
      </w:r>
      <w:r w:rsidR="00F46CFD">
        <w:rPr>
          <w:rFonts w:cs="Calibri" w:hint="cs"/>
          <w:rtl/>
        </w:rPr>
        <w:t>ً</w:t>
      </w:r>
      <w:r w:rsidR="00F46CFD">
        <w:rPr>
          <w:rFonts w:cs="Calibri"/>
          <w:rtl/>
        </w:rPr>
        <w:t xml:space="preserve"> بقيد متأخّر</w:t>
      </w:r>
      <w:r w:rsidR="00F46CFD">
        <w:rPr>
          <w:rFonts w:cs="Calibri" w:hint="cs"/>
          <w:rtl/>
        </w:rPr>
        <w:t>،</w:t>
      </w:r>
      <w:r w:rsidR="00F46CFD">
        <w:rPr>
          <w:rFonts w:cs="Calibri"/>
          <w:rtl/>
        </w:rPr>
        <w:t xml:space="preserve"> </w:t>
      </w:r>
      <w:r>
        <w:rPr>
          <w:rFonts w:cs="Calibri"/>
          <w:rtl/>
        </w:rPr>
        <w:t>ولكن المعلوم بالعلم الإجماليّ الأوّل بما أنّه مطلق غير مقيّد بقيد الملاقاة فيمكنه أن ينزل إلى رتبة المعلوم بالعلم الإجماليّ الثاني</w:t>
      </w:r>
      <w:r w:rsidR="00F46CFD">
        <w:rPr>
          <w:rFonts w:cs="Calibri" w:hint="cs"/>
          <w:rtl/>
        </w:rPr>
        <w:t>،</w:t>
      </w:r>
      <w:r>
        <w:rPr>
          <w:rFonts w:cs="Calibri"/>
          <w:rtl/>
        </w:rPr>
        <w:t xml:space="preserve"> وبالتالي إذا نزل إلى رتبه هذا يأتي </w:t>
      </w:r>
      <w:r w:rsidR="00F46CFD">
        <w:rPr>
          <w:rFonts w:cs="Calibri" w:hint="cs"/>
          <w:rtl/>
        </w:rPr>
        <w:t>الكلام</w:t>
      </w:r>
      <w:r>
        <w:rPr>
          <w:rFonts w:cs="Calibri"/>
          <w:rtl/>
        </w:rPr>
        <w:t xml:space="preserve"> بأنّ هذا الطرف المشترك اجتمع فيه العلمان الإجماليّان، وإذا كان كذلك فلا يعرف أنّ هذا الطرف المشترك الذي هو أحد طرفي هذه العلم الإجماليّ الثاني هل هو حدوثيّ أو بقائيّ</w:t>
      </w:r>
      <w:r w:rsidR="00F46CFD">
        <w:rPr>
          <w:rFonts w:cs="Calibri" w:hint="cs"/>
          <w:rtl/>
        </w:rPr>
        <w:t>،</w:t>
      </w:r>
      <w:r>
        <w:rPr>
          <w:rFonts w:cs="Calibri"/>
          <w:rtl/>
        </w:rPr>
        <w:t xml:space="preserve"> وبالتالي ينحلّ هذا العلم الإجماليّ الثاني بسبب الشكّ في أنّه حدوثيّ أو بقائيّ</w:t>
      </w:r>
      <w:r w:rsidR="00F46CFD">
        <w:rPr>
          <w:rFonts w:cs="Calibri" w:hint="cs"/>
          <w:rtl/>
        </w:rPr>
        <w:t>،</w:t>
      </w:r>
      <w:r>
        <w:rPr>
          <w:rFonts w:cs="Calibri"/>
          <w:rtl/>
        </w:rPr>
        <w:t xml:space="preserve"> فإنّه على أحد طرفيه حدوثيّ وعلى الآخر بقائيّ.</w:t>
      </w:r>
    </w:p>
    <w:p w14:paraId="6F754426" w14:textId="30766137" w:rsidR="00B819CB" w:rsidRDefault="00B819CB" w:rsidP="00B819CB">
      <w:pPr>
        <w:rPr>
          <w:rtl/>
        </w:rPr>
      </w:pPr>
      <w:r>
        <w:rPr>
          <w:rFonts w:cs="Calibri"/>
          <w:rtl/>
        </w:rPr>
        <w:t>وهنا ينتهي التقريب الجديد الذي لعلّه هو مراد المحقّق النائينيّ رضوان الله تعالى عليه، وأستاذنا الشهيد رضوان الله تعالى عليه يذكر إشكالين على هذه التقريب الجديد</w:t>
      </w:r>
      <w:r w:rsidR="00CB2709">
        <w:rPr>
          <w:rFonts w:cs="Calibri" w:hint="cs"/>
          <w:rtl/>
        </w:rPr>
        <w:t>، يأتي شرحهما في الدرس القادم إن شاء الله</w:t>
      </w:r>
      <w:r>
        <w:rPr>
          <w:rFonts w:cs="Calibri"/>
          <w:rtl/>
        </w:rPr>
        <w:t>.</w:t>
      </w:r>
    </w:p>
    <w:p w14:paraId="1D73670A" w14:textId="00C45813" w:rsidR="007F57DB" w:rsidRDefault="00B819CB" w:rsidP="00B819CB">
      <w:pPr>
        <w:rPr>
          <w:rtl/>
        </w:rPr>
      </w:pPr>
      <w:r>
        <w:rPr>
          <w:rFonts w:cs="Calibri"/>
          <w:rtl/>
        </w:rPr>
        <w:t>والحمد لله ربّ العالمين.</w:t>
      </w:r>
    </w:p>
    <w:sectPr w:rsidR="007F57DB"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52B" w14:textId="77777777" w:rsidR="00A5177F" w:rsidRDefault="00A5177F" w:rsidP="007800A5">
      <w:r>
        <w:separator/>
      </w:r>
    </w:p>
  </w:endnote>
  <w:endnote w:type="continuationSeparator" w:id="0">
    <w:p w14:paraId="3C28FDDA" w14:textId="77777777" w:rsidR="00A5177F" w:rsidRDefault="00A5177F"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EDAB" w14:textId="77777777" w:rsidR="00A5177F" w:rsidRDefault="00A5177F" w:rsidP="007800A5">
      <w:r>
        <w:separator/>
      </w:r>
    </w:p>
  </w:footnote>
  <w:footnote w:type="continuationSeparator" w:id="0">
    <w:p w14:paraId="72FFD0D5" w14:textId="77777777" w:rsidR="00A5177F" w:rsidRDefault="00A5177F" w:rsidP="007800A5">
      <w:r>
        <w:continuationSeparator/>
      </w:r>
    </w:p>
  </w:footnote>
  <w:footnote w:id="1">
    <w:p w14:paraId="124F4149" w14:textId="5B0B0716" w:rsidR="005876BF" w:rsidRDefault="005876BF">
      <w:pPr>
        <w:pStyle w:val="a4"/>
        <w:rPr>
          <w:rFonts w:hint="cs"/>
          <w:rtl/>
        </w:rPr>
      </w:pPr>
      <w:r>
        <w:rPr>
          <w:rStyle w:val="a5"/>
        </w:rPr>
        <w:footnoteRef/>
      </w:r>
      <w:r>
        <w:rPr>
          <w:rtl/>
        </w:rPr>
        <w:t xml:space="preserve"> </w:t>
      </w:r>
      <w:hyperlink r:id="rId1" w:history="1">
        <w:r w:rsidRPr="005876BF">
          <w:rPr>
            <w:rStyle w:val="Hyperlink"/>
            <w:rFonts w:hint="cs"/>
            <w:rtl/>
          </w:rPr>
          <w:t>أجود التقريرات: 2 / 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37E313E9" w:rsidR="005C6485" w:rsidRPr="00E87D9D" w:rsidRDefault="00C23AA2" w:rsidP="00F03B57">
    <w:pPr>
      <w:ind w:firstLine="0"/>
      <w:rPr>
        <w:sz w:val="18"/>
        <w:szCs w:val="18"/>
        <w:rtl/>
      </w:rPr>
    </w:pPr>
    <w:r>
      <w:rPr>
        <w:rFonts w:hint="cs"/>
        <w:sz w:val="18"/>
        <w:szCs w:val="18"/>
        <w:rtl/>
      </w:rPr>
      <w:t>2</w:t>
    </w:r>
    <w:r w:rsidR="007F57DB">
      <w:rPr>
        <w:rFonts w:hint="cs"/>
        <w:sz w:val="18"/>
        <w:szCs w:val="18"/>
        <w:rtl/>
      </w:rPr>
      <w:t>4</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464"/>
    <w:rsid w:val="00097E9E"/>
    <w:rsid w:val="000A0138"/>
    <w:rsid w:val="000A0624"/>
    <w:rsid w:val="000A09CB"/>
    <w:rsid w:val="000A0BBC"/>
    <w:rsid w:val="000A2AAA"/>
    <w:rsid w:val="000A3EE6"/>
    <w:rsid w:val="000A46B3"/>
    <w:rsid w:val="000A4C39"/>
    <w:rsid w:val="000A64E4"/>
    <w:rsid w:val="000A6F9A"/>
    <w:rsid w:val="000B0086"/>
    <w:rsid w:val="000B011B"/>
    <w:rsid w:val="000B1C0F"/>
    <w:rsid w:val="000B1C40"/>
    <w:rsid w:val="000B23EA"/>
    <w:rsid w:val="000B375E"/>
    <w:rsid w:val="000B3A66"/>
    <w:rsid w:val="000B4A15"/>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1CDC"/>
    <w:rsid w:val="00103DE2"/>
    <w:rsid w:val="00103F90"/>
    <w:rsid w:val="001051C6"/>
    <w:rsid w:val="001058D7"/>
    <w:rsid w:val="00105C50"/>
    <w:rsid w:val="00105FAD"/>
    <w:rsid w:val="00106624"/>
    <w:rsid w:val="0010665E"/>
    <w:rsid w:val="001074AD"/>
    <w:rsid w:val="00107F7C"/>
    <w:rsid w:val="00111AEB"/>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7F1"/>
    <w:rsid w:val="00172864"/>
    <w:rsid w:val="00173727"/>
    <w:rsid w:val="00173D6D"/>
    <w:rsid w:val="00175320"/>
    <w:rsid w:val="00175A42"/>
    <w:rsid w:val="00175BA0"/>
    <w:rsid w:val="00176A48"/>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4D2"/>
    <w:rsid w:val="00187CC1"/>
    <w:rsid w:val="001900B9"/>
    <w:rsid w:val="00190568"/>
    <w:rsid w:val="00190914"/>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DB"/>
    <w:rsid w:val="001F595B"/>
    <w:rsid w:val="001F711B"/>
    <w:rsid w:val="00200878"/>
    <w:rsid w:val="00200D68"/>
    <w:rsid w:val="00201B45"/>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FBC"/>
    <w:rsid w:val="002A6701"/>
    <w:rsid w:val="002A683F"/>
    <w:rsid w:val="002A7239"/>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0F9A"/>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B85"/>
    <w:rsid w:val="003304A8"/>
    <w:rsid w:val="00330781"/>
    <w:rsid w:val="0033123C"/>
    <w:rsid w:val="00334569"/>
    <w:rsid w:val="00334A2C"/>
    <w:rsid w:val="0033667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F027B"/>
    <w:rsid w:val="003F1950"/>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79A0"/>
    <w:rsid w:val="0043083B"/>
    <w:rsid w:val="004309CB"/>
    <w:rsid w:val="00431961"/>
    <w:rsid w:val="00432698"/>
    <w:rsid w:val="00433476"/>
    <w:rsid w:val="004353AD"/>
    <w:rsid w:val="00435A36"/>
    <w:rsid w:val="00435D1F"/>
    <w:rsid w:val="00435EA4"/>
    <w:rsid w:val="00441002"/>
    <w:rsid w:val="00441224"/>
    <w:rsid w:val="0044140D"/>
    <w:rsid w:val="0044160B"/>
    <w:rsid w:val="00441D06"/>
    <w:rsid w:val="00441D7D"/>
    <w:rsid w:val="0044212C"/>
    <w:rsid w:val="00442F2D"/>
    <w:rsid w:val="00444B49"/>
    <w:rsid w:val="00444C7F"/>
    <w:rsid w:val="00445FEC"/>
    <w:rsid w:val="00446206"/>
    <w:rsid w:val="0044663F"/>
    <w:rsid w:val="004502CB"/>
    <w:rsid w:val="00450464"/>
    <w:rsid w:val="00450A3A"/>
    <w:rsid w:val="00451431"/>
    <w:rsid w:val="0045198E"/>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51D2"/>
    <w:rsid w:val="007F567B"/>
    <w:rsid w:val="007F57DB"/>
    <w:rsid w:val="007F59B8"/>
    <w:rsid w:val="007F5E99"/>
    <w:rsid w:val="007F73A3"/>
    <w:rsid w:val="007F7446"/>
    <w:rsid w:val="007F7F85"/>
    <w:rsid w:val="00800359"/>
    <w:rsid w:val="0080160B"/>
    <w:rsid w:val="00804122"/>
    <w:rsid w:val="0080431F"/>
    <w:rsid w:val="00805598"/>
    <w:rsid w:val="00807347"/>
    <w:rsid w:val="00807C26"/>
    <w:rsid w:val="00810107"/>
    <w:rsid w:val="00810A01"/>
    <w:rsid w:val="00810C41"/>
    <w:rsid w:val="00810EA4"/>
    <w:rsid w:val="008119FA"/>
    <w:rsid w:val="0081253A"/>
    <w:rsid w:val="008136A3"/>
    <w:rsid w:val="00813957"/>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919"/>
    <w:rsid w:val="008B6EB4"/>
    <w:rsid w:val="008B6F8F"/>
    <w:rsid w:val="008B79FD"/>
    <w:rsid w:val="008C03AB"/>
    <w:rsid w:val="008C0CA2"/>
    <w:rsid w:val="008C1A92"/>
    <w:rsid w:val="008C1B82"/>
    <w:rsid w:val="008C1C6F"/>
    <w:rsid w:val="008C36F6"/>
    <w:rsid w:val="008C426A"/>
    <w:rsid w:val="008C4540"/>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CA3"/>
    <w:rsid w:val="00903CBA"/>
    <w:rsid w:val="00904404"/>
    <w:rsid w:val="009054C2"/>
    <w:rsid w:val="009069CA"/>
    <w:rsid w:val="00906CD1"/>
    <w:rsid w:val="009078D1"/>
    <w:rsid w:val="00907DA5"/>
    <w:rsid w:val="00907F5D"/>
    <w:rsid w:val="0091011C"/>
    <w:rsid w:val="009109CF"/>
    <w:rsid w:val="00910A57"/>
    <w:rsid w:val="00910E95"/>
    <w:rsid w:val="00911303"/>
    <w:rsid w:val="009137F0"/>
    <w:rsid w:val="00913907"/>
    <w:rsid w:val="00915C34"/>
    <w:rsid w:val="00915EC1"/>
    <w:rsid w:val="00916218"/>
    <w:rsid w:val="0091634B"/>
    <w:rsid w:val="009173C7"/>
    <w:rsid w:val="009200B3"/>
    <w:rsid w:val="0092070B"/>
    <w:rsid w:val="00920FAA"/>
    <w:rsid w:val="00920FB8"/>
    <w:rsid w:val="009211E6"/>
    <w:rsid w:val="0092156E"/>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6A53"/>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A60"/>
    <w:rsid w:val="00976CE9"/>
    <w:rsid w:val="00976DB4"/>
    <w:rsid w:val="0097703C"/>
    <w:rsid w:val="00977D25"/>
    <w:rsid w:val="00980901"/>
    <w:rsid w:val="009814D5"/>
    <w:rsid w:val="00981EB3"/>
    <w:rsid w:val="00982583"/>
    <w:rsid w:val="00982AE9"/>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1E94"/>
    <w:rsid w:val="009B26AF"/>
    <w:rsid w:val="009B323F"/>
    <w:rsid w:val="009B36A9"/>
    <w:rsid w:val="009B3A13"/>
    <w:rsid w:val="009B3E14"/>
    <w:rsid w:val="009B4A65"/>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5C16"/>
    <w:rsid w:val="009D628B"/>
    <w:rsid w:val="009E09A0"/>
    <w:rsid w:val="009E0B75"/>
    <w:rsid w:val="009E1335"/>
    <w:rsid w:val="009E1B16"/>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B3C"/>
    <w:rsid w:val="00A10DD9"/>
    <w:rsid w:val="00A114CE"/>
    <w:rsid w:val="00A12374"/>
    <w:rsid w:val="00A133C6"/>
    <w:rsid w:val="00A13F3D"/>
    <w:rsid w:val="00A14B3E"/>
    <w:rsid w:val="00A14CC1"/>
    <w:rsid w:val="00A15936"/>
    <w:rsid w:val="00A15E7C"/>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127A"/>
    <w:rsid w:val="00A416D6"/>
    <w:rsid w:val="00A42DC1"/>
    <w:rsid w:val="00A42FEB"/>
    <w:rsid w:val="00A436C8"/>
    <w:rsid w:val="00A445BA"/>
    <w:rsid w:val="00A45031"/>
    <w:rsid w:val="00A45B13"/>
    <w:rsid w:val="00A4702D"/>
    <w:rsid w:val="00A47FC5"/>
    <w:rsid w:val="00A503B2"/>
    <w:rsid w:val="00A50590"/>
    <w:rsid w:val="00A5177F"/>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F7A"/>
    <w:rsid w:val="00AC5593"/>
    <w:rsid w:val="00AC7A13"/>
    <w:rsid w:val="00AD02D7"/>
    <w:rsid w:val="00AD0684"/>
    <w:rsid w:val="00AD14B2"/>
    <w:rsid w:val="00AD1EEA"/>
    <w:rsid w:val="00AD2B04"/>
    <w:rsid w:val="00AD2C46"/>
    <w:rsid w:val="00AD34FD"/>
    <w:rsid w:val="00AD39F6"/>
    <w:rsid w:val="00AD42DD"/>
    <w:rsid w:val="00AD48F2"/>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4E7"/>
    <w:rsid w:val="00B516C0"/>
    <w:rsid w:val="00B51735"/>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413"/>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225"/>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3CD"/>
    <w:rsid w:val="00DF565D"/>
    <w:rsid w:val="00DF598A"/>
    <w:rsid w:val="00DF5AB3"/>
    <w:rsid w:val="00DF5FF3"/>
    <w:rsid w:val="00DF6C9A"/>
    <w:rsid w:val="00DF6FA1"/>
    <w:rsid w:val="00E00582"/>
    <w:rsid w:val="00E0192C"/>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086"/>
    <w:rsid w:val="00F05D65"/>
    <w:rsid w:val="00F06066"/>
    <w:rsid w:val="00F068D7"/>
    <w:rsid w:val="00F07425"/>
    <w:rsid w:val="00F10C03"/>
    <w:rsid w:val="00F116E5"/>
    <w:rsid w:val="00F123B4"/>
    <w:rsid w:val="00F12BB2"/>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48"/>
    <w:rsid w:val="00FD3C7F"/>
    <w:rsid w:val="00FD523C"/>
    <w:rsid w:val="00FD5689"/>
    <w:rsid w:val="00FD67A9"/>
    <w:rsid w:val="00FD69E4"/>
    <w:rsid w:val="00FD6F26"/>
    <w:rsid w:val="00FD7D5B"/>
    <w:rsid w:val="00FE08FB"/>
    <w:rsid w:val="00FE0EC7"/>
    <w:rsid w:val="00FE3047"/>
    <w:rsid w:val="00FE3E66"/>
    <w:rsid w:val="00FE649B"/>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10057/2/263/%D9%86%D8%A7%D8%B4%D8%A6%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6558</TotalTime>
  <Pages>2</Pages>
  <Words>828</Words>
  <Characters>4725</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675</cp:revision>
  <cp:lastPrinted>2023-12-09T08:15:00Z</cp:lastPrinted>
  <dcterms:created xsi:type="dcterms:W3CDTF">2023-10-18T07:30:00Z</dcterms:created>
  <dcterms:modified xsi:type="dcterms:W3CDTF">2023-12-25T06:17:00Z</dcterms:modified>
  <dc:language>العربية</dc:language>
</cp:coreProperties>
</file>